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1D06" w14:textId="77777777" w:rsidR="00E7470B" w:rsidRPr="00017440" w:rsidRDefault="00E7470B" w:rsidP="00017440">
      <w:pPr>
        <w:pStyle w:val="Heading1"/>
      </w:pPr>
      <w:bookmarkStart w:id="0" w:name="_GoBack"/>
      <w:bookmarkEnd w:id="0"/>
      <w:r w:rsidRPr="00017440">
        <w:t>Introduction</w:t>
      </w:r>
    </w:p>
    <w:p w14:paraId="135233D1" w14:textId="77777777" w:rsidR="00E7470B" w:rsidRPr="00017440" w:rsidRDefault="00E7470B" w:rsidP="00017440">
      <w:pPr>
        <w:pStyle w:val="Heading2"/>
      </w:pPr>
      <w:r w:rsidRPr="00017440">
        <w:t>Purpose</w:t>
      </w:r>
    </w:p>
    <w:p w14:paraId="539A9B16" w14:textId="33872F7F"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The purpose of this procedure is to provide SAHMRI staff with guidance on how to apply consistent and comprehensive risk assessments.  This procedure also provides information on how to identify, an</w:t>
      </w:r>
      <w:r w:rsidR="00490870">
        <w:rPr>
          <w:rFonts w:eastAsia="Calibri"/>
          <w:color w:val="000000" w:themeColor="text1"/>
          <w:sz w:val="22"/>
          <w:szCs w:val="22"/>
        </w:rPr>
        <w:t xml:space="preserve">alyse, evaluate and treat risks based on the </w:t>
      </w:r>
      <w:r w:rsidR="00490870" w:rsidRPr="00490870">
        <w:rPr>
          <w:rFonts w:eastAsia="Calibri"/>
          <w:b/>
          <w:color w:val="000000" w:themeColor="text1"/>
          <w:sz w:val="22"/>
          <w:szCs w:val="22"/>
        </w:rPr>
        <w:t>Risk Management Policy (POL 0029).</w:t>
      </w:r>
      <w:r w:rsidRPr="00E7470B">
        <w:rPr>
          <w:rFonts w:eastAsia="Calibri"/>
          <w:color w:val="000000" w:themeColor="text1"/>
          <w:sz w:val="22"/>
          <w:szCs w:val="22"/>
        </w:rPr>
        <w:t xml:space="preserve">  In addition, it identifies other key activities needed for an effective risk management approach.  The risk management process described in this procedure aligns with the standard for </w:t>
      </w:r>
      <w:r w:rsidRPr="00E7470B">
        <w:rPr>
          <w:rFonts w:eastAsia="Calibri"/>
          <w:b/>
          <w:color w:val="000000" w:themeColor="text1"/>
          <w:sz w:val="22"/>
          <w:szCs w:val="22"/>
        </w:rPr>
        <w:t>Risk Management, AS/NZS ISO 31000:2009</w:t>
      </w:r>
      <w:r w:rsidRPr="00E7470B">
        <w:rPr>
          <w:rFonts w:eastAsia="Calibri"/>
          <w:color w:val="000000" w:themeColor="text1"/>
          <w:sz w:val="22"/>
          <w:szCs w:val="22"/>
        </w:rPr>
        <w:t>.</w:t>
      </w:r>
      <w:r w:rsidR="0038037D">
        <w:rPr>
          <w:rFonts w:eastAsia="Calibri"/>
          <w:color w:val="000000" w:themeColor="text1"/>
          <w:sz w:val="22"/>
          <w:szCs w:val="22"/>
        </w:rPr>
        <w:t xml:space="preserve"> It also refers to the </w:t>
      </w:r>
      <w:r w:rsidR="0038037D" w:rsidRPr="0038037D">
        <w:rPr>
          <w:rFonts w:eastAsia="Calibri"/>
          <w:b/>
          <w:color w:val="000000" w:themeColor="text1"/>
          <w:sz w:val="22"/>
          <w:szCs w:val="22"/>
        </w:rPr>
        <w:t>ICH Harmonised Tripartite Guideline- Quality Risk Management (Q9) 2005, PICS Guide to the Manufacturing Practice for Medical Products, Part1 and OECD Principles on GLP</w:t>
      </w:r>
      <w:r w:rsidR="0038037D">
        <w:rPr>
          <w:rFonts w:eastAsia="Calibri"/>
          <w:color w:val="000000" w:themeColor="text1"/>
          <w:sz w:val="22"/>
          <w:szCs w:val="22"/>
        </w:rPr>
        <w:t xml:space="preserve"> for GXP (GLP, GCP, GMP)  activities undertaken at SAHMRI.</w:t>
      </w:r>
    </w:p>
    <w:p w14:paraId="6D3C83BD"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4596E751" w14:textId="77777777" w:rsidR="00E7470B" w:rsidRPr="00E7470B" w:rsidRDefault="00E7470B" w:rsidP="00E7470B">
      <w:pPr>
        <w:ind w:hanging="709"/>
        <w:rPr>
          <w:sz w:val="22"/>
          <w:szCs w:val="22"/>
        </w:rPr>
      </w:pPr>
      <w:r w:rsidRPr="00E7470B">
        <w:rPr>
          <w:sz w:val="22"/>
          <w:szCs w:val="22"/>
        </w:rPr>
        <w:t>The objectives of a risk management framework are to:</w:t>
      </w:r>
    </w:p>
    <w:p w14:paraId="4934D96E" w14:textId="77777777" w:rsidR="00E7470B" w:rsidRPr="00E7470B" w:rsidRDefault="00E7470B" w:rsidP="00017440">
      <w:pPr>
        <w:numPr>
          <w:ilvl w:val="0"/>
          <w:numId w:val="11"/>
        </w:numPr>
        <w:overflowPunct/>
        <w:autoSpaceDE/>
        <w:autoSpaceDN/>
        <w:adjustRightInd/>
        <w:spacing w:after="200" w:line="276" w:lineRule="auto"/>
        <w:ind w:left="284"/>
        <w:contextualSpacing/>
        <w:jc w:val="both"/>
        <w:textAlignment w:val="auto"/>
        <w:rPr>
          <w:rFonts w:eastAsia="Calibri"/>
          <w:sz w:val="22"/>
          <w:szCs w:val="22"/>
        </w:rPr>
      </w:pPr>
      <w:r w:rsidRPr="00E7470B">
        <w:rPr>
          <w:rFonts w:eastAsia="Calibri"/>
          <w:sz w:val="22"/>
          <w:szCs w:val="22"/>
        </w:rPr>
        <w:t>Provide a systematic approach to the early identification and management of risks;</w:t>
      </w:r>
    </w:p>
    <w:p w14:paraId="0B8623FC" w14:textId="77777777" w:rsidR="00E7470B" w:rsidRPr="00E7470B" w:rsidRDefault="00E7470B" w:rsidP="00017440">
      <w:pPr>
        <w:numPr>
          <w:ilvl w:val="0"/>
          <w:numId w:val="11"/>
        </w:numPr>
        <w:overflowPunct/>
        <w:autoSpaceDE/>
        <w:autoSpaceDN/>
        <w:adjustRightInd/>
        <w:spacing w:after="200" w:line="276" w:lineRule="auto"/>
        <w:ind w:left="284"/>
        <w:contextualSpacing/>
        <w:jc w:val="both"/>
        <w:textAlignment w:val="auto"/>
        <w:rPr>
          <w:rFonts w:eastAsia="Calibri"/>
          <w:sz w:val="22"/>
          <w:szCs w:val="22"/>
        </w:rPr>
      </w:pPr>
      <w:r w:rsidRPr="00E7470B">
        <w:rPr>
          <w:rFonts w:eastAsia="Calibri"/>
          <w:sz w:val="22"/>
          <w:szCs w:val="22"/>
        </w:rPr>
        <w:t>Provide consistent risk assessment criteria;</w:t>
      </w:r>
    </w:p>
    <w:p w14:paraId="341F37EA" w14:textId="77777777" w:rsidR="00E7470B" w:rsidRPr="00E7470B" w:rsidRDefault="00E7470B" w:rsidP="00017440">
      <w:pPr>
        <w:numPr>
          <w:ilvl w:val="0"/>
          <w:numId w:val="11"/>
        </w:numPr>
        <w:overflowPunct/>
        <w:autoSpaceDE/>
        <w:autoSpaceDN/>
        <w:adjustRightInd/>
        <w:spacing w:after="200" w:line="276" w:lineRule="auto"/>
        <w:ind w:left="284"/>
        <w:contextualSpacing/>
        <w:jc w:val="both"/>
        <w:textAlignment w:val="auto"/>
        <w:rPr>
          <w:rFonts w:eastAsia="Calibri"/>
          <w:sz w:val="22"/>
          <w:szCs w:val="22"/>
        </w:rPr>
      </w:pPr>
      <w:r w:rsidRPr="00E7470B">
        <w:rPr>
          <w:rFonts w:eastAsia="Calibri"/>
          <w:sz w:val="22"/>
          <w:szCs w:val="22"/>
        </w:rPr>
        <w:t>Make available accurate and concise risk information that informs decision making including strategic direction;</w:t>
      </w:r>
    </w:p>
    <w:p w14:paraId="2CB0DCC8" w14:textId="77777777" w:rsidR="00E7470B" w:rsidRPr="00E7470B" w:rsidRDefault="00E7470B" w:rsidP="00017440">
      <w:pPr>
        <w:numPr>
          <w:ilvl w:val="0"/>
          <w:numId w:val="11"/>
        </w:numPr>
        <w:overflowPunct/>
        <w:autoSpaceDE/>
        <w:autoSpaceDN/>
        <w:adjustRightInd/>
        <w:spacing w:after="200" w:line="276" w:lineRule="auto"/>
        <w:ind w:left="284"/>
        <w:contextualSpacing/>
        <w:jc w:val="both"/>
        <w:textAlignment w:val="auto"/>
        <w:rPr>
          <w:rFonts w:eastAsia="Calibri"/>
          <w:sz w:val="22"/>
          <w:szCs w:val="22"/>
        </w:rPr>
      </w:pPr>
      <w:r w:rsidRPr="00E7470B">
        <w:rPr>
          <w:rFonts w:eastAsia="Calibri"/>
          <w:sz w:val="22"/>
          <w:szCs w:val="22"/>
        </w:rPr>
        <w:t>Adopt risk treatment strategies that are cost effective and efficient in reducing risk to an acceptable level; and</w:t>
      </w:r>
    </w:p>
    <w:p w14:paraId="1812B728" w14:textId="77777777" w:rsidR="00E7470B" w:rsidRPr="00E7470B" w:rsidRDefault="00E7470B" w:rsidP="00017440">
      <w:pPr>
        <w:numPr>
          <w:ilvl w:val="0"/>
          <w:numId w:val="11"/>
        </w:numPr>
        <w:overflowPunct/>
        <w:autoSpaceDE/>
        <w:autoSpaceDN/>
        <w:adjustRightInd/>
        <w:spacing w:after="200" w:line="276" w:lineRule="auto"/>
        <w:ind w:left="284"/>
        <w:contextualSpacing/>
        <w:jc w:val="both"/>
        <w:textAlignment w:val="auto"/>
        <w:rPr>
          <w:rFonts w:ascii="Calibri" w:eastAsia="Calibri" w:hAnsi="Calibri" w:cs="Times New Roman"/>
          <w:sz w:val="22"/>
          <w:szCs w:val="22"/>
        </w:rPr>
      </w:pPr>
      <w:r w:rsidRPr="00E7470B">
        <w:rPr>
          <w:rFonts w:eastAsia="Calibri"/>
          <w:sz w:val="22"/>
          <w:szCs w:val="22"/>
        </w:rPr>
        <w:t>Monitor and review risk levels to ensure that risk exposure remains within an acceptable level</w:t>
      </w:r>
      <w:r w:rsidRPr="00E7470B">
        <w:rPr>
          <w:rFonts w:ascii="Calibri" w:eastAsia="Calibri" w:hAnsi="Calibri" w:cs="Times New Roman"/>
          <w:sz w:val="22"/>
          <w:szCs w:val="22"/>
        </w:rPr>
        <w:t>.</w:t>
      </w:r>
    </w:p>
    <w:p w14:paraId="21092C7C" w14:textId="77777777" w:rsidR="00E7470B" w:rsidRPr="00E7470B" w:rsidRDefault="00E7470B" w:rsidP="00E7470B">
      <w:pPr>
        <w:spacing w:line="276" w:lineRule="auto"/>
        <w:rPr>
          <w:color w:val="000000" w:themeColor="text1"/>
          <w:sz w:val="20"/>
        </w:rPr>
      </w:pPr>
    </w:p>
    <w:p w14:paraId="40147B5F" w14:textId="63908A2F" w:rsidR="00E7470B" w:rsidRPr="00490870" w:rsidRDefault="00E7470B" w:rsidP="00490870">
      <w:pPr>
        <w:pStyle w:val="Heading2"/>
      </w:pPr>
      <w:r w:rsidRPr="00E7470B">
        <w:t>Scope</w:t>
      </w:r>
    </w:p>
    <w:p w14:paraId="6CCDB77D"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sz w:val="22"/>
          <w:szCs w:val="22"/>
        </w:rPr>
      </w:pPr>
      <w:r w:rsidRPr="00E7470B">
        <w:rPr>
          <w:rFonts w:eastAsia="Calibri"/>
          <w:sz w:val="22"/>
          <w:szCs w:val="22"/>
        </w:rPr>
        <w:t>This document sets out:</w:t>
      </w:r>
    </w:p>
    <w:p w14:paraId="2B05174B" w14:textId="77777777" w:rsidR="00E7470B" w:rsidRPr="00E7470B" w:rsidRDefault="00E7470B" w:rsidP="00017440">
      <w:pPr>
        <w:numPr>
          <w:ilvl w:val="0"/>
          <w:numId w:val="6"/>
        </w:numPr>
        <w:overflowPunct/>
        <w:autoSpaceDE/>
        <w:autoSpaceDN/>
        <w:adjustRightInd/>
        <w:spacing w:after="200" w:line="276" w:lineRule="auto"/>
        <w:ind w:left="142"/>
        <w:contextualSpacing/>
        <w:jc w:val="both"/>
        <w:textAlignment w:val="auto"/>
        <w:rPr>
          <w:rFonts w:eastAsiaTheme="minorHAnsi"/>
          <w:sz w:val="22"/>
          <w:szCs w:val="22"/>
        </w:rPr>
      </w:pPr>
      <w:r w:rsidRPr="00E7470B">
        <w:rPr>
          <w:rFonts w:eastAsiaTheme="minorHAnsi"/>
          <w:sz w:val="22"/>
          <w:szCs w:val="22"/>
        </w:rPr>
        <w:t>The procedures followed by SAHMRI to manage risk</w:t>
      </w:r>
    </w:p>
    <w:p w14:paraId="7D5B6CD6" w14:textId="77777777" w:rsidR="00E7470B" w:rsidRPr="00E7470B" w:rsidRDefault="00E7470B" w:rsidP="00017440">
      <w:pPr>
        <w:numPr>
          <w:ilvl w:val="0"/>
          <w:numId w:val="6"/>
        </w:numPr>
        <w:overflowPunct/>
        <w:autoSpaceDE/>
        <w:autoSpaceDN/>
        <w:adjustRightInd/>
        <w:spacing w:after="200" w:line="276" w:lineRule="auto"/>
        <w:ind w:left="142"/>
        <w:contextualSpacing/>
        <w:jc w:val="both"/>
        <w:textAlignment w:val="auto"/>
        <w:rPr>
          <w:rFonts w:eastAsiaTheme="minorHAnsi"/>
          <w:sz w:val="22"/>
          <w:szCs w:val="22"/>
        </w:rPr>
      </w:pPr>
      <w:r w:rsidRPr="00E7470B">
        <w:rPr>
          <w:rFonts w:eastAsiaTheme="minorHAnsi"/>
          <w:sz w:val="22"/>
          <w:szCs w:val="22"/>
        </w:rPr>
        <w:t>The metrics used by SAHMRI to assess and manage risk</w:t>
      </w:r>
    </w:p>
    <w:p w14:paraId="376B50B8" w14:textId="77777777" w:rsidR="00E7470B" w:rsidRPr="00E7470B" w:rsidRDefault="00E7470B" w:rsidP="00017440">
      <w:pPr>
        <w:numPr>
          <w:ilvl w:val="0"/>
          <w:numId w:val="6"/>
        </w:numPr>
        <w:overflowPunct/>
        <w:autoSpaceDE/>
        <w:autoSpaceDN/>
        <w:adjustRightInd/>
        <w:spacing w:after="200" w:line="276" w:lineRule="auto"/>
        <w:ind w:left="142"/>
        <w:contextualSpacing/>
        <w:jc w:val="both"/>
        <w:textAlignment w:val="auto"/>
        <w:rPr>
          <w:rFonts w:eastAsia="Calibri"/>
          <w:sz w:val="22"/>
          <w:szCs w:val="22"/>
        </w:rPr>
      </w:pPr>
      <w:r w:rsidRPr="00E7470B">
        <w:rPr>
          <w:rFonts w:eastAsiaTheme="minorHAnsi"/>
          <w:sz w:val="22"/>
          <w:szCs w:val="22"/>
        </w:rPr>
        <w:t>The tools used to record and report risks</w:t>
      </w:r>
    </w:p>
    <w:p w14:paraId="2B0469CD" w14:textId="77777777" w:rsidR="00E7470B" w:rsidRPr="00E7470B" w:rsidRDefault="00E7470B" w:rsidP="00E7470B">
      <w:pPr>
        <w:overflowPunct/>
        <w:autoSpaceDE/>
        <w:autoSpaceDN/>
        <w:adjustRightInd/>
        <w:spacing w:after="200" w:line="276" w:lineRule="auto"/>
        <w:ind w:left="567"/>
        <w:contextualSpacing/>
        <w:textAlignment w:val="auto"/>
        <w:rPr>
          <w:rFonts w:eastAsia="Calibri"/>
          <w:color w:val="000000" w:themeColor="text1"/>
          <w:sz w:val="20"/>
        </w:rPr>
      </w:pPr>
    </w:p>
    <w:p w14:paraId="635BB7D6" w14:textId="77777777" w:rsidR="00E7470B" w:rsidRPr="00E7470B" w:rsidRDefault="00E7470B" w:rsidP="00017440">
      <w:pPr>
        <w:pStyle w:val="Heading1"/>
      </w:pPr>
      <w:r w:rsidRPr="00E7470B">
        <w:t xml:space="preserve">Definitions </w:t>
      </w:r>
    </w:p>
    <w:p w14:paraId="50A868D4" w14:textId="77777777" w:rsidR="00E7470B" w:rsidRDefault="00E7470B" w:rsidP="00E7470B">
      <w:pPr>
        <w:spacing w:line="276" w:lineRule="auto"/>
        <w:ind w:left="-709"/>
        <w:jc w:val="both"/>
        <w:rPr>
          <w:b/>
          <w:color w:val="000000" w:themeColor="text1"/>
          <w:sz w:val="22"/>
          <w:szCs w:val="22"/>
        </w:rPr>
      </w:pPr>
      <w:r w:rsidRPr="00E7470B">
        <w:rPr>
          <w:color w:val="000000" w:themeColor="text1"/>
          <w:sz w:val="22"/>
          <w:szCs w:val="22"/>
        </w:rPr>
        <w:t xml:space="preserve">Refer to the </w:t>
      </w:r>
      <w:r w:rsidRPr="00E7470B">
        <w:rPr>
          <w:b/>
          <w:color w:val="000000" w:themeColor="text1"/>
          <w:sz w:val="22"/>
          <w:szCs w:val="22"/>
        </w:rPr>
        <w:t>Risk Policy (POL 002</w:t>
      </w:r>
      <w:r w:rsidRPr="00FC3365">
        <w:rPr>
          <w:b/>
          <w:color w:val="000000" w:themeColor="text1"/>
          <w:sz w:val="22"/>
          <w:szCs w:val="22"/>
        </w:rPr>
        <w:t>9)</w:t>
      </w:r>
    </w:p>
    <w:p w14:paraId="3006CD7C" w14:textId="77777777" w:rsidR="00FC3365" w:rsidRPr="00E7470B" w:rsidRDefault="00FC3365" w:rsidP="00E7470B">
      <w:pPr>
        <w:spacing w:line="276" w:lineRule="auto"/>
        <w:ind w:left="-709"/>
        <w:jc w:val="both"/>
        <w:rPr>
          <w:color w:val="000000" w:themeColor="text1"/>
          <w:sz w:val="22"/>
          <w:szCs w:val="22"/>
        </w:rPr>
      </w:pPr>
    </w:p>
    <w:p w14:paraId="67CA6FEB" w14:textId="77777777" w:rsidR="00E7470B" w:rsidRPr="00E7470B" w:rsidRDefault="00E7470B" w:rsidP="00E7470B">
      <w:pPr>
        <w:spacing w:line="276" w:lineRule="auto"/>
        <w:ind w:left="-142"/>
        <w:rPr>
          <w:color w:val="000000" w:themeColor="text1"/>
          <w:sz w:val="22"/>
          <w:szCs w:val="22"/>
        </w:rPr>
      </w:pPr>
    </w:p>
    <w:p w14:paraId="5C348195" w14:textId="77777777" w:rsidR="00E7470B" w:rsidRPr="00E7470B" w:rsidRDefault="00E7470B" w:rsidP="00017440">
      <w:pPr>
        <w:pStyle w:val="Heading1"/>
      </w:pPr>
      <w:r w:rsidRPr="00E7470B">
        <w:t>Responsibilities</w:t>
      </w:r>
      <w:bookmarkStart w:id="1" w:name="_Toc344982422"/>
    </w:p>
    <w:bookmarkEnd w:id="1"/>
    <w:p w14:paraId="2BF90BF0" w14:textId="77777777" w:rsidR="00FC3365" w:rsidRDefault="00FC3365" w:rsidP="00E7470B">
      <w:pPr>
        <w:spacing w:line="276" w:lineRule="auto"/>
        <w:ind w:left="-709"/>
        <w:jc w:val="both"/>
        <w:rPr>
          <w:color w:val="000000" w:themeColor="text1"/>
          <w:sz w:val="22"/>
          <w:szCs w:val="22"/>
        </w:rPr>
      </w:pPr>
    </w:p>
    <w:p w14:paraId="649E5397" w14:textId="77777777" w:rsidR="00FC3365" w:rsidRDefault="00FC3365" w:rsidP="00FC3365">
      <w:pPr>
        <w:spacing w:line="276" w:lineRule="auto"/>
        <w:ind w:left="-709"/>
        <w:jc w:val="both"/>
        <w:rPr>
          <w:color w:val="000000" w:themeColor="text1"/>
          <w:sz w:val="22"/>
          <w:szCs w:val="22"/>
        </w:rPr>
      </w:pPr>
      <w:r w:rsidRPr="00FC3365">
        <w:rPr>
          <w:color w:val="000000" w:themeColor="text1"/>
          <w:sz w:val="22"/>
          <w:szCs w:val="22"/>
        </w:rPr>
        <w:t xml:space="preserve">Risk management is a responsibility of all members of SAHMRI community with specific duties being allocated to different groups and levels of the organisation. It is important to have complete and current risk information available as this will assist SAHMRI to make more informed decisions around both strategic direction and operational objectives.   </w:t>
      </w:r>
    </w:p>
    <w:p w14:paraId="732822FB" w14:textId="77777777" w:rsidR="00FC3365" w:rsidRDefault="00FC3365" w:rsidP="00FC3365">
      <w:pPr>
        <w:spacing w:line="276" w:lineRule="auto"/>
        <w:ind w:left="-709"/>
        <w:jc w:val="both"/>
        <w:rPr>
          <w:color w:val="000000" w:themeColor="text1"/>
          <w:sz w:val="22"/>
          <w:szCs w:val="22"/>
        </w:rPr>
      </w:pPr>
    </w:p>
    <w:p w14:paraId="64DC89F2" w14:textId="45A53E64" w:rsidR="00FC3365" w:rsidRDefault="00FC3365" w:rsidP="00FC3365">
      <w:pPr>
        <w:spacing w:line="276" w:lineRule="auto"/>
        <w:ind w:left="-709"/>
        <w:jc w:val="both"/>
        <w:rPr>
          <w:rFonts w:eastAsia="Calibri"/>
          <w:color w:val="000000" w:themeColor="text1"/>
          <w:sz w:val="22"/>
          <w:szCs w:val="22"/>
        </w:rPr>
      </w:pPr>
      <w:r>
        <w:rPr>
          <w:rFonts w:eastAsia="Calibri"/>
          <w:color w:val="000000" w:themeColor="text1"/>
          <w:sz w:val="22"/>
          <w:szCs w:val="22"/>
        </w:rPr>
        <w:t xml:space="preserve">The </w:t>
      </w:r>
      <w:r w:rsidRPr="00E7470B">
        <w:rPr>
          <w:rFonts w:eastAsia="Calibri"/>
          <w:color w:val="000000" w:themeColor="text1"/>
          <w:sz w:val="22"/>
          <w:szCs w:val="22"/>
        </w:rPr>
        <w:t>SAHMRI Board</w:t>
      </w:r>
      <w:r>
        <w:rPr>
          <w:rFonts w:eastAsia="Calibri"/>
          <w:color w:val="000000" w:themeColor="text1"/>
          <w:sz w:val="22"/>
          <w:szCs w:val="22"/>
        </w:rPr>
        <w:t xml:space="preserve"> reviews the risk report endorsed by the </w:t>
      </w:r>
      <w:r w:rsidRPr="00E7470B">
        <w:rPr>
          <w:rFonts w:eastAsia="Calibri"/>
          <w:color w:val="000000" w:themeColor="text1"/>
          <w:sz w:val="22"/>
          <w:szCs w:val="22"/>
        </w:rPr>
        <w:t>Audit, Finance and Risk Committee</w:t>
      </w:r>
      <w:r w:rsidR="00490870">
        <w:rPr>
          <w:rFonts w:eastAsia="Calibri"/>
          <w:color w:val="000000" w:themeColor="text1"/>
          <w:sz w:val="22"/>
          <w:szCs w:val="22"/>
        </w:rPr>
        <w:t>.</w:t>
      </w:r>
    </w:p>
    <w:p w14:paraId="366D0622" w14:textId="77777777" w:rsidR="00FC3365" w:rsidRDefault="00FC3365" w:rsidP="00FC3365">
      <w:pPr>
        <w:spacing w:line="276" w:lineRule="auto"/>
        <w:jc w:val="both"/>
        <w:rPr>
          <w:color w:val="000000" w:themeColor="text1"/>
          <w:sz w:val="22"/>
          <w:szCs w:val="22"/>
        </w:rPr>
      </w:pPr>
    </w:p>
    <w:p w14:paraId="655C0A97" w14:textId="1005CFD6" w:rsidR="00E7470B" w:rsidRPr="00E7470B" w:rsidRDefault="00E7470B" w:rsidP="00FC3365">
      <w:pPr>
        <w:spacing w:line="276" w:lineRule="auto"/>
        <w:ind w:left="-709"/>
        <w:jc w:val="both"/>
        <w:rPr>
          <w:color w:val="000000" w:themeColor="text1"/>
          <w:sz w:val="22"/>
          <w:szCs w:val="22"/>
        </w:rPr>
      </w:pPr>
      <w:r w:rsidRPr="00E7470B">
        <w:rPr>
          <w:color w:val="000000" w:themeColor="text1"/>
          <w:sz w:val="22"/>
          <w:szCs w:val="22"/>
        </w:rPr>
        <w:lastRenderedPageBreak/>
        <w:t xml:space="preserve">The Chief Risk Officer (CRO) is tasked with presenting any new corporate risks, or escalating </w:t>
      </w:r>
      <w:r w:rsidR="00FC3365">
        <w:rPr>
          <w:color w:val="000000" w:themeColor="text1"/>
          <w:sz w:val="22"/>
          <w:szCs w:val="22"/>
        </w:rPr>
        <w:t xml:space="preserve">if necessary </w:t>
      </w:r>
      <w:r w:rsidRPr="00E7470B">
        <w:rPr>
          <w:color w:val="000000" w:themeColor="text1"/>
          <w:sz w:val="22"/>
          <w:szCs w:val="22"/>
        </w:rPr>
        <w:t>any current risks, to the Audit, Finance and Risk Committee for consideration.</w:t>
      </w:r>
    </w:p>
    <w:p w14:paraId="170F3E6A" w14:textId="77777777" w:rsidR="00E7470B" w:rsidRPr="00E7470B" w:rsidRDefault="00E7470B" w:rsidP="00FC3365">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3EDA3024" w14:textId="5CF38020" w:rsidR="00E7470B" w:rsidRPr="00E7470B" w:rsidRDefault="00E7470B" w:rsidP="00FC3365">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 xml:space="preserve">The role of the Risk Coordinator is to prepare and draft the corporate risk reports for presentation to the Audit, Finance and Risk Committee.  </w:t>
      </w:r>
    </w:p>
    <w:p w14:paraId="5375A16E" w14:textId="77777777" w:rsidR="00E7470B" w:rsidRPr="00E7470B" w:rsidRDefault="00E7470B" w:rsidP="00FC3365">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62BED652" w14:textId="77777777" w:rsidR="00E7470B" w:rsidRPr="00E7470B" w:rsidRDefault="00E7470B" w:rsidP="00FC3365">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Responsible staff must report to the CRO all High and Extreme residual risks.</w:t>
      </w:r>
    </w:p>
    <w:p w14:paraId="4E30EE11" w14:textId="77777777" w:rsidR="00E7470B" w:rsidRPr="00E7470B" w:rsidRDefault="00E7470B" w:rsidP="00E7470B">
      <w:pPr>
        <w:spacing w:line="276" w:lineRule="auto"/>
        <w:jc w:val="both"/>
        <w:rPr>
          <w:color w:val="000000" w:themeColor="text1"/>
        </w:rPr>
      </w:pPr>
    </w:p>
    <w:p w14:paraId="4629D9B1" w14:textId="77777777" w:rsidR="00E7470B" w:rsidRPr="00017440" w:rsidRDefault="00E7470B" w:rsidP="00017440">
      <w:pPr>
        <w:pStyle w:val="Heading1"/>
      </w:pPr>
      <w:r w:rsidRPr="00017440">
        <w:t xml:space="preserve">Procedure </w:t>
      </w:r>
    </w:p>
    <w:p w14:paraId="4E913B22" w14:textId="77777777" w:rsidR="00E7470B" w:rsidRPr="00E7470B" w:rsidRDefault="00E7470B" w:rsidP="00017440">
      <w:pPr>
        <w:pStyle w:val="Heading2"/>
        <w:numPr>
          <w:ilvl w:val="1"/>
          <w:numId w:val="14"/>
        </w:numPr>
        <w:ind w:left="142" w:hanging="426"/>
      </w:pPr>
      <w:bookmarkStart w:id="2" w:name="_Toc173304885"/>
      <w:bookmarkStart w:id="3" w:name="_Toc175132144"/>
      <w:bookmarkStart w:id="4" w:name="_Toc202672326"/>
      <w:r w:rsidRPr="00E7470B">
        <w:t>Benefits of Risk Management</w:t>
      </w:r>
      <w:bookmarkEnd w:id="2"/>
      <w:bookmarkEnd w:id="3"/>
      <w:bookmarkEnd w:id="4"/>
    </w:p>
    <w:p w14:paraId="34966D68" w14:textId="77777777" w:rsidR="00E7470B" w:rsidRPr="00E7470B" w:rsidRDefault="00E7470B" w:rsidP="00E7470B">
      <w:pPr>
        <w:spacing w:line="276" w:lineRule="auto"/>
        <w:ind w:left="-709"/>
        <w:jc w:val="both"/>
        <w:rPr>
          <w:sz w:val="22"/>
          <w:szCs w:val="22"/>
        </w:rPr>
      </w:pPr>
      <w:r w:rsidRPr="00E7470B">
        <w:rPr>
          <w:sz w:val="22"/>
          <w:szCs w:val="22"/>
        </w:rPr>
        <w:t xml:space="preserve">SAHMRI considered and manages risks as well as opportunities. </w:t>
      </w:r>
    </w:p>
    <w:p w14:paraId="09EFF165" w14:textId="77777777" w:rsidR="00E7470B" w:rsidRPr="00E7470B" w:rsidRDefault="00E7470B" w:rsidP="00E7470B">
      <w:pPr>
        <w:spacing w:line="276" w:lineRule="auto"/>
        <w:ind w:left="-709"/>
        <w:jc w:val="both"/>
        <w:rPr>
          <w:sz w:val="22"/>
          <w:szCs w:val="22"/>
        </w:rPr>
      </w:pPr>
    </w:p>
    <w:p w14:paraId="550C7586" w14:textId="36EFA621" w:rsidR="00E7470B" w:rsidRPr="00E7470B" w:rsidRDefault="00E7470B" w:rsidP="00E7470B">
      <w:pPr>
        <w:spacing w:line="276" w:lineRule="auto"/>
        <w:ind w:left="-709"/>
        <w:jc w:val="both"/>
        <w:rPr>
          <w:sz w:val="22"/>
          <w:szCs w:val="22"/>
        </w:rPr>
      </w:pPr>
      <w:r w:rsidRPr="00E7470B">
        <w:rPr>
          <w:sz w:val="22"/>
          <w:szCs w:val="22"/>
        </w:rPr>
        <w:t>Risks are managed with a focus on decreasing their likelihood, and minimi</w:t>
      </w:r>
      <w:r w:rsidR="003E2DEC">
        <w:rPr>
          <w:sz w:val="22"/>
          <w:szCs w:val="22"/>
        </w:rPr>
        <w:t>s</w:t>
      </w:r>
      <w:r w:rsidRPr="00E7470B">
        <w:rPr>
          <w:sz w:val="22"/>
          <w:szCs w:val="22"/>
        </w:rPr>
        <w:t>ing their impact if they should occur. Opportunities are managed to increase their likelihood, and to maximi</w:t>
      </w:r>
      <w:r w:rsidR="003E2DEC">
        <w:rPr>
          <w:sz w:val="22"/>
          <w:szCs w:val="22"/>
        </w:rPr>
        <w:t>s</w:t>
      </w:r>
      <w:r w:rsidRPr="00E7470B">
        <w:rPr>
          <w:sz w:val="22"/>
          <w:szCs w:val="22"/>
        </w:rPr>
        <w:t>e their benefits if they should occur.</w:t>
      </w:r>
      <w:r w:rsidR="003E2DEC">
        <w:rPr>
          <w:sz w:val="22"/>
          <w:szCs w:val="22"/>
        </w:rPr>
        <w:t xml:space="preserve"> This ensures a </w:t>
      </w:r>
      <w:r w:rsidR="00D30986">
        <w:rPr>
          <w:sz w:val="22"/>
          <w:szCs w:val="22"/>
        </w:rPr>
        <w:t xml:space="preserve">highly </w:t>
      </w:r>
      <w:r w:rsidR="003E2DEC">
        <w:rPr>
          <w:sz w:val="22"/>
          <w:szCs w:val="22"/>
        </w:rPr>
        <w:t xml:space="preserve">comprehensive </w:t>
      </w:r>
      <w:r w:rsidR="00D30986">
        <w:rPr>
          <w:sz w:val="22"/>
          <w:szCs w:val="22"/>
        </w:rPr>
        <w:t xml:space="preserve">approach to risk. </w:t>
      </w:r>
    </w:p>
    <w:p w14:paraId="5A057A9B" w14:textId="77777777" w:rsidR="00E7470B" w:rsidRPr="00E7470B" w:rsidRDefault="00E7470B" w:rsidP="00E7470B">
      <w:pPr>
        <w:spacing w:line="276" w:lineRule="auto"/>
        <w:ind w:left="-709"/>
        <w:jc w:val="both"/>
        <w:rPr>
          <w:sz w:val="22"/>
          <w:szCs w:val="22"/>
        </w:rPr>
      </w:pPr>
    </w:p>
    <w:p w14:paraId="1F3D7FDA" w14:textId="22C50081" w:rsidR="00E7470B" w:rsidRPr="00E7470B" w:rsidRDefault="00E7470B" w:rsidP="00E7470B">
      <w:pPr>
        <w:spacing w:line="276" w:lineRule="auto"/>
        <w:ind w:left="-709"/>
        <w:jc w:val="both"/>
        <w:rPr>
          <w:color w:val="FF0000"/>
          <w:sz w:val="22"/>
          <w:szCs w:val="22"/>
        </w:rPr>
      </w:pPr>
      <w:r w:rsidRPr="00E7470B">
        <w:rPr>
          <w:sz w:val="22"/>
          <w:szCs w:val="22"/>
        </w:rPr>
        <w:t xml:space="preserve">Where risks and opportunities overlap, the best appropriate method for managing them shall be ascertained, given the situation at </w:t>
      </w:r>
      <w:r w:rsidRPr="00D30986">
        <w:rPr>
          <w:sz w:val="22"/>
          <w:szCs w:val="22"/>
        </w:rPr>
        <w:t xml:space="preserve">hand. </w:t>
      </w:r>
    </w:p>
    <w:p w14:paraId="155E851F" w14:textId="77777777" w:rsidR="00E7470B" w:rsidRPr="00E7470B" w:rsidRDefault="00E7470B" w:rsidP="00E7470B">
      <w:pPr>
        <w:spacing w:line="276" w:lineRule="auto"/>
        <w:jc w:val="both"/>
        <w:rPr>
          <w:sz w:val="22"/>
          <w:szCs w:val="22"/>
        </w:rPr>
      </w:pPr>
    </w:p>
    <w:p w14:paraId="4EBF5FE4" w14:textId="5532EB18" w:rsidR="00E7470B" w:rsidRPr="00E7470B" w:rsidRDefault="00E7470B" w:rsidP="003E2DEC">
      <w:pPr>
        <w:spacing w:line="276" w:lineRule="auto"/>
        <w:ind w:left="-709"/>
        <w:jc w:val="both"/>
        <w:rPr>
          <w:sz w:val="22"/>
          <w:szCs w:val="22"/>
        </w:rPr>
      </w:pPr>
      <w:r w:rsidRPr="00E7470B">
        <w:rPr>
          <w:sz w:val="22"/>
          <w:szCs w:val="22"/>
        </w:rPr>
        <w:t>Application of a consistent and comprehensive risk management (including opportunities) process will:</w:t>
      </w:r>
    </w:p>
    <w:p w14:paraId="1ECE8D4A" w14:textId="77777777" w:rsidR="00E7470B" w:rsidRPr="00E7470B" w:rsidRDefault="00E7470B" w:rsidP="00017440">
      <w:pPr>
        <w:numPr>
          <w:ilvl w:val="0"/>
          <w:numId w:val="3"/>
        </w:numPr>
        <w:overflowPunct/>
        <w:autoSpaceDE/>
        <w:autoSpaceDN/>
        <w:adjustRightInd/>
        <w:spacing w:line="276" w:lineRule="auto"/>
        <w:ind w:left="284"/>
        <w:jc w:val="both"/>
        <w:textAlignment w:val="auto"/>
        <w:rPr>
          <w:sz w:val="22"/>
          <w:szCs w:val="22"/>
        </w:rPr>
      </w:pPr>
      <w:r w:rsidRPr="00E7470B">
        <w:rPr>
          <w:sz w:val="22"/>
          <w:szCs w:val="22"/>
        </w:rPr>
        <w:t xml:space="preserve">Increase the likelihood of us achieving our strategic and business objectives; </w:t>
      </w:r>
    </w:p>
    <w:p w14:paraId="750F1317" w14:textId="77777777" w:rsidR="00E7470B" w:rsidRPr="00E7470B" w:rsidRDefault="00E7470B" w:rsidP="00017440">
      <w:pPr>
        <w:numPr>
          <w:ilvl w:val="0"/>
          <w:numId w:val="3"/>
        </w:numPr>
        <w:overflowPunct/>
        <w:autoSpaceDE/>
        <w:autoSpaceDN/>
        <w:adjustRightInd/>
        <w:spacing w:line="276" w:lineRule="auto"/>
        <w:ind w:left="284"/>
        <w:jc w:val="both"/>
        <w:textAlignment w:val="auto"/>
        <w:rPr>
          <w:sz w:val="22"/>
          <w:szCs w:val="22"/>
        </w:rPr>
      </w:pPr>
      <w:r w:rsidRPr="00E7470B">
        <w:rPr>
          <w:sz w:val="22"/>
          <w:szCs w:val="22"/>
        </w:rPr>
        <w:t>Encourage a high standard of accountability at all levels of the organisation;</w:t>
      </w:r>
    </w:p>
    <w:p w14:paraId="5E5C56EF" w14:textId="77777777" w:rsidR="00E7470B" w:rsidRPr="00E7470B" w:rsidRDefault="00E7470B" w:rsidP="00017440">
      <w:pPr>
        <w:numPr>
          <w:ilvl w:val="0"/>
          <w:numId w:val="3"/>
        </w:numPr>
        <w:overflowPunct/>
        <w:autoSpaceDE/>
        <w:autoSpaceDN/>
        <w:adjustRightInd/>
        <w:spacing w:line="276" w:lineRule="auto"/>
        <w:ind w:left="284"/>
        <w:jc w:val="both"/>
        <w:textAlignment w:val="auto"/>
        <w:rPr>
          <w:sz w:val="22"/>
          <w:szCs w:val="22"/>
        </w:rPr>
      </w:pPr>
      <w:r w:rsidRPr="00E7470B">
        <w:rPr>
          <w:sz w:val="22"/>
          <w:szCs w:val="22"/>
        </w:rPr>
        <w:t xml:space="preserve">Support more effective decision making through better understanding of risk exposures; </w:t>
      </w:r>
    </w:p>
    <w:p w14:paraId="177FF926" w14:textId="77777777" w:rsidR="00E7470B" w:rsidRPr="00E7470B" w:rsidRDefault="00E7470B" w:rsidP="00017440">
      <w:pPr>
        <w:numPr>
          <w:ilvl w:val="0"/>
          <w:numId w:val="3"/>
        </w:numPr>
        <w:overflowPunct/>
        <w:autoSpaceDE/>
        <w:autoSpaceDN/>
        <w:adjustRightInd/>
        <w:spacing w:line="276" w:lineRule="auto"/>
        <w:ind w:left="284"/>
        <w:jc w:val="both"/>
        <w:textAlignment w:val="auto"/>
        <w:rPr>
          <w:sz w:val="22"/>
          <w:szCs w:val="22"/>
        </w:rPr>
      </w:pPr>
      <w:r w:rsidRPr="00E7470B">
        <w:rPr>
          <w:sz w:val="22"/>
          <w:szCs w:val="22"/>
        </w:rPr>
        <w:t>Create an environment that enables us to deliver timely services and meet performance objectives in an efficient and cost effective manner;</w:t>
      </w:r>
    </w:p>
    <w:p w14:paraId="2385F6FB" w14:textId="77777777" w:rsidR="00E7470B" w:rsidRPr="00E7470B" w:rsidRDefault="00E7470B" w:rsidP="00017440">
      <w:pPr>
        <w:numPr>
          <w:ilvl w:val="0"/>
          <w:numId w:val="3"/>
        </w:numPr>
        <w:overflowPunct/>
        <w:autoSpaceDE/>
        <w:autoSpaceDN/>
        <w:adjustRightInd/>
        <w:spacing w:line="276" w:lineRule="auto"/>
        <w:ind w:left="284"/>
        <w:jc w:val="both"/>
        <w:textAlignment w:val="auto"/>
        <w:rPr>
          <w:sz w:val="22"/>
          <w:szCs w:val="22"/>
        </w:rPr>
      </w:pPr>
      <w:r w:rsidRPr="00E7470B">
        <w:rPr>
          <w:sz w:val="22"/>
          <w:szCs w:val="22"/>
        </w:rPr>
        <w:t>Safeguard our assets – people, property and reputation; and</w:t>
      </w:r>
    </w:p>
    <w:p w14:paraId="4B248387" w14:textId="5B4B2602" w:rsidR="00E7470B" w:rsidRPr="00B64E9F" w:rsidRDefault="00E7470B" w:rsidP="00B64E9F">
      <w:pPr>
        <w:numPr>
          <w:ilvl w:val="0"/>
          <w:numId w:val="3"/>
        </w:numPr>
        <w:overflowPunct/>
        <w:autoSpaceDE/>
        <w:autoSpaceDN/>
        <w:adjustRightInd/>
        <w:spacing w:line="276" w:lineRule="auto"/>
        <w:ind w:left="284"/>
        <w:jc w:val="both"/>
        <w:textAlignment w:val="auto"/>
        <w:rPr>
          <w:sz w:val="22"/>
          <w:szCs w:val="22"/>
        </w:rPr>
      </w:pPr>
      <w:r w:rsidRPr="00E7470B">
        <w:rPr>
          <w:sz w:val="22"/>
          <w:szCs w:val="22"/>
        </w:rPr>
        <w:t>Meet compliance and governance requirements.</w:t>
      </w:r>
    </w:p>
    <w:p w14:paraId="52D6BCAA" w14:textId="77777777" w:rsidR="00E7470B" w:rsidRPr="00E7470B" w:rsidRDefault="00E7470B" w:rsidP="00E7470B">
      <w:pPr>
        <w:spacing w:line="276" w:lineRule="auto"/>
        <w:ind w:left="-142"/>
        <w:jc w:val="both"/>
      </w:pPr>
    </w:p>
    <w:p w14:paraId="1310B1CF" w14:textId="77777777" w:rsidR="00E7470B" w:rsidRPr="00E7470B" w:rsidRDefault="00E7470B" w:rsidP="00017440">
      <w:pPr>
        <w:pStyle w:val="Heading2"/>
        <w:numPr>
          <w:ilvl w:val="1"/>
          <w:numId w:val="16"/>
        </w:numPr>
        <w:ind w:left="142" w:hanging="426"/>
      </w:pPr>
      <w:r w:rsidRPr="00E7470B">
        <w:t>Relationship with Other Processes</w:t>
      </w:r>
    </w:p>
    <w:p w14:paraId="028202D5" w14:textId="77777777" w:rsidR="00E7470B" w:rsidRPr="00E7470B" w:rsidRDefault="00E7470B" w:rsidP="00E7470B">
      <w:pPr>
        <w:spacing w:line="276" w:lineRule="auto"/>
        <w:ind w:left="-709"/>
        <w:jc w:val="both"/>
        <w:rPr>
          <w:sz w:val="22"/>
          <w:szCs w:val="22"/>
        </w:rPr>
      </w:pPr>
      <w:bookmarkStart w:id="5" w:name="OLE_LINK2"/>
      <w:r w:rsidRPr="00E7470B">
        <w:rPr>
          <w:sz w:val="22"/>
          <w:szCs w:val="22"/>
        </w:rPr>
        <w:t>Risk management is not a stand-alone discipline but requires integration with existing processes such as business planning and Internal Audit, in order to provide us with the greatest benefits.</w:t>
      </w:r>
    </w:p>
    <w:p w14:paraId="50B3546F" w14:textId="77777777" w:rsidR="00E7470B" w:rsidRPr="00E7470B" w:rsidRDefault="00E7470B" w:rsidP="00E7470B">
      <w:pPr>
        <w:spacing w:line="276" w:lineRule="auto"/>
        <w:ind w:left="-709"/>
        <w:jc w:val="both"/>
        <w:rPr>
          <w:sz w:val="22"/>
          <w:szCs w:val="22"/>
        </w:rPr>
      </w:pPr>
    </w:p>
    <w:p w14:paraId="0ABB02DE" w14:textId="77777777" w:rsidR="00E7470B" w:rsidRPr="00E7470B" w:rsidRDefault="00E7470B" w:rsidP="00E7470B">
      <w:pPr>
        <w:spacing w:line="276" w:lineRule="auto"/>
        <w:ind w:left="-709"/>
        <w:jc w:val="both"/>
        <w:rPr>
          <w:sz w:val="22"/>
          <w:szCs w:val="22"/>
        </w:rPr>
      </w:pPr>
      <w:r w:rsidRPr="00E7470B">
        <w:rPr>
          <w:sz w:val="22"/>
          <w:szCs w:val="22"/>
        </w:rPr>
        <w:t>The key processes with which risk alignment is necessary are:</w:t>
      </w:r>
    </w:p>
    <w:p w14:paraId="4369AF47" w14:textId="3B9CFA8C" w:rsidR="00E7470B" w:rsidRPr="00E7470B" w:rsidRDefault="00E7470B" w:rsidP="00017440">
      <w:pPr>
        <w:numPr>
          <w:ilvl w:val="0"/>
          <w:numId w:val="4"/>
        </w:numPr>
        <w:overflowPunct/>
        <w:autoSpaceDE/>
        <w:autoSpaceDN/>
        <w:adjustRightInd/>
        <w:spacing w:line="276" w:lineRule="auto"/>
        <w:ind w:left="284" w:hanging="284"/>
        <w:jc w:val="both"/>
        <w:textAlignment w:val="auto"/>
        <w:rPr>
          <w:sz w:val="22"/>
          <w:szCs w:val="22"/>
        </w:rPr>
      </w:pPr>
      <w:r w:rsidRPr="00E7470B">
        <w:rPr>
          <w:b/>
          <w:bCs/>
          <w:sz w:val="22"/>
          <w:szCs w:val="22"/>
        </w:rPr>
        <w:t>Internal Audit</w:t>
      </w:r>
      <w:r w:rsidR="00B64E9F">
        <w:rPr>
          <w:sz w:val="22"/>
          <w:szCs w:val="22"/>
        </w:rPr>
        <w:t xml:space="preserve"> – I</w:t>
      </w:r>
      <w:r w:rsidRPr="00E7470B">
        <w:rPr>
          <w:sz w:val="22"/>
          <w:szCs w:val="22"/>
        </w:rPr>
        <w:t xml:space="preserve">nternal </w:t>
      </w:r>
      <w:r w:rsidR="00B64E9F">
        <w:rPr>
          <w:sz w:val="22"/>
          <w:szCs w:val="22"/>
        </w:rPr>
        <w:t>a</w:t>
      </w:r>
      <w:r w:rsidRPr="00E7470B">
        <w:rPr>
          <w:sz w:val="22"/>
          <w:szCs w:val="22"/>
        </w:rPr>
        <w:t>udit reviews the effectiveness of controls. Risk assessments conducted for each of the critical processes and projects help to identify</w:t>
      </w:r>
      <w:r w:rsidR="00B64E9F">
        <w:rPr>
          <w:sz w:val="22"/>
          <w:szCs w:val="22"/>
        </w:rPr>
        <w:t xml:space="preserve"> and review auditing priorities.</w:t>
      </w:r>
    </w:p>
    <w:p w14:paraId="48760C36" w14:textId="77777777" w:rsidR="00E7470B" w:rsidRPr="00E7470B" w:rsidRDefault="00E7470B" w:rsidP="00E7470B">
      <w:pPr>
        <w:overflowPunct/>
        <w:autoSpaceDE/>
        <w:autoSpaceDN/>
        <w:adjustRightInd/>
        <w:spacing w:line="276" w:lineRule="auto"/>
        <w:ind w:left="284"/>
        <w:jc w:val="both"/>
        <w:textAlignment w:val="auto"/>
        <w:rPr>
          <w:sz w:val="22"/>
          <w:szCs w:val="22"/>
        </w:rPr>
      </w:pPr>
    </w:p>
    <w:p w14:paraId="73BF5027" w14:textId="4A144167" w:rsidR="00E7470B" w:rsidRPr="00E7470B" w:rsidRDefault="00E7470B" w:rsidP="00017440">
      <w:pPr>
        <w:numPr>
          <w:ilvl w:val="0"/>
          <w:numId w:val="4"/>
        </w:numPr>
        <w:overflowPunct/>
        <w:autoSpaceDE/>
        <w:autoSpaceDN/>
        <w:adjustRightInd/>
        <w:spacing w:line="276" w:lineRule="auto"/>
        <w:ind w:left="284" w:hanging="284"/>
        <w:jc w:val="both"/>
        <w:textAlignment w:val="auto"/>
        <w:rPr>
          <w:sz w:val="22"/>
          <w:szCs w:val="22"/>
        </w:rPr>
      </w:pPr>
      <w:r w:rsidRPr="00E7470B">
        <w:rPr>
          <w:b/>
          <w:sz w:val="22"/>
          <w:szCs w:val="22"/>
        </w:rPr>
        <w:t>Legal and Regulatory Compliance Framework</w:t>
      </w:r>
      <w:r w:rsidRPr="00E7470B">
        <w:rPr>
          <w:sz w:val="22"/>
          <w:szCs w:val="22"/>
        </w:rPr>
        <w:t xml:space="preserve"> consists of the policies, processes, tools and structures that help to identify and manage the legal risks around meeting our objectives. Refer to the </w:t>
      </w:r>
      <w:r w:rsidRPr="00E7470B">
        <w:rPr>
          <w:b/>
          <w:sz w:val="22"/>
          <w:szCs w:val="22"/>
        </w:rPr>
        <w:t>Legal and Regulatory Compliance Framework</w:t>
      </w:r>
      <w:r w:rsidRPr="00E7470B">
        <w:rPr>
          <w:sz w:val="22"/>
          <w:szCs w:val="22"/>
        </w:rPr>
        <w:t xml:space="preserve"> (DOC 0065)</w:t>
      </w:r>
      <w:r w:rsidR="00F6165B">
        <w:rPr>
          <w:sz w:val="22"/>
          <w:szCs w:val="22"/>
        </w:rPr>
        <w:t>.</w:t>
      </w:r>
    </w:p>
    <w:p w14:paraId="0D72CE86" w14:textId="77777777" w:rsidR="00E7470B" w:rsidRPr="00E7470B" w:rsidRDefault="00E7470B" w:rsidP="00E7470B">
      <w:pPr>
        <w:spacing w:line="276" w:lineRule="auto"/>
        <w:ind w:left="284" w:hanging="284"/>
        <w:jc w:val="both"/>
        <w:rPr>
          <w:sz w:val="22"/>
          <w:szCs w:val="22"/>
        </w:rPr>
      </w:pPr>
    </w:p>
    <w:p w14:paraId="0869A2F4" w14:textId="77777777" w:rsidR="00E7470B" w:rsidRPr="00E7470B" w:rsidRDefault="00E7470B" w:rsidP="00017440">
      <w:pPr>
        <w:numPr>
          <w:ilvl w:val="0"/>
          <w:numId w:val="4"/>
        </w:numPr>
        <w:overflowPunct/>
        <w:autoSpaceDE/>
        <w:autoSpaceDN/>
        <w:adjustRightInd/>
        <w:spacing w:line="276" w:lineRule="auto"/>
        <w:ind w:left="284" w:hanging="284"/>
        <w:jc w:val="both"/>
        <w:textAlignment w:val="auto"/>
        <w:rPr>
          <w:sz w:val="22"/>
          <w:szCs w:val="22"/>
        </w:rPr>
      </w:pPr>
      <w:r w:rsidRPr="00E7470B">
        <w:rPr>
          <w:b/>
          <w:bCs/>
          <w:sz w:val="22"/>
          <w:szCs w:val="22"/>
        </w:rPr>
        <w:t xml:space="preserve">Planning (including budget) </w:t>
      </w:r>
      <w:r w:rsidRPr="00E7470B">
        <w:rPr>
          <w:sz w:val="22"/>
          <w:szCs w:val="22"/>
        </w:rPr>
        <w:t xml:space="preserve">– Identifying risk during the business planning process allows us to set realistic delivery timelines for strategies/ activities or to choose to remove </w:t>
      </w:r>
      <w:r w:rsidRPr="00E7470B">
        <w:rPr>
          <w:sz w:val="22"/>
          <w:szCs w:val="22"/>
        </w:rPr>
        <w:lastRenderedPageBreak/>
        <w:t xml:space="preserve">a strategy/ activity if the associated risks are too high or unmanageable.  The impact of changing risk levels over the year can then be mapped to the relevant objective, enabling us to conduct more timely expectation management with key stakeholders.  </w:t>
      </w:r>
    </w:p>
    <w:p w14:paraId="579D2DED" w14:textId="77777777" w:rsidR="00E7470B" w:rsidRPr="00E7470B" w:rsidRDefault="00E7470B" w:rsidP="00E7470B">
      <w:pPr>
        <w:overflowPunct/>
        <w:autoSpaceDE/>
        <w:autoSpaceDN/>
        <w:adjustRightInd/>
        <w:spacing w:line="276" w:lineRule="auto"/>
        <w:jc w:val="both"/>
        <w:textAlignment w:val="auto"/>
        <w:rPr>
          <w:sz w:val="22"/>
          <w:szCs w:val="22"/>
        </w:rPr>
      </w:pPr>
    </w:p>
    <w:p w14:paraId="43F7BB48" w14:textId="77777777" w:rsidR="00E7470B" w:rsidRPr="00E7470B" w:rsidRDefault="00E7470B" w:rsidP="00017440">
      <w:pPr>
        <w:numPr>
          <w:ilvl w:val="0"/>
          <w:numId w:val="4"/>
        </w:numPr>
        <w:tabs>
          <w:tab w:val="num" w:pos="0"/>
        </w:tabs>
        <w:overflowPunct/>
        <w:autoSpaceDE/>
        <w:autoSpaceDN/>
        <w:adjustRightInd/>
        <w:spacing w:line="276" w:lineRule="auto"/>
        <w:ind w:left="284" w:hanging="284"/>
        <w:jc w:val="both"/>
        <w:textAlignment w:val="auto"/>
        <w:rPr>
          <w:sz w:val="22"/>
          <w:szCs w:val="22"/>
        </w:rPr>
      </w:pPr>
      <w:r w:rsidRPr="00E7470B">
        <w:rPr>
          <w:b/>
          <w:bCs/>
          <w:sz w:val="22"/>
          <w:szCs w:val="22"/>
        </w:rPr>
        <w:t>Performance Management</w:t>
      </w:r>
      <w:r w:rsidRPr="00E7470B">
        <w:rPr>
          <w:sz w:val="22"/>
          <w:szCs w:val="22"/>
        </w:rPr>
        <w:t xml:space="preserve"> – All risk responsibilities, whether a general responsibility to use the risk management process or specific responsibilities such as risk ownership and implementation of risk treatments should be included within the relevant individual or departmental performance plans.</w:t>
      </w:r>
      <w:bookmarkEnd w:id="5"/>
    </w:p>
    <w:p w14:paraId="11D89F5D" w14:textId="77777777" w:rsidR="00E7470B" w:rsidRPr="00E7470B" w:rsidRDefault="00E7470B" w:rsidP="00E7470B">
      <w:pPr>
        <w:overflowPunct/>
        <w:autoSpaceDE/>
        <w:autoSpaceDN/>
        <w:adjustRightInd/>
        <w:spacing w:line="276" w:lineRule="auto"/>
        <w:jc w:val="both"/>
        <w:textAlignment w:val="auto"/>
        <w:rPr>
          <w:sz w:val="22"/>
          <w:szCs w:val="22"/>
        </w:rPr>
      </w:pPr>
    </w:p>
    <w:p w14:paraId="3E665CF8" w14:textId="77777777" w:rsidR="00E7470B" w:rsidRPr="00E7470B" w:rsidRDefault="00E7470B" w:rsidP="00E7470B">
      <w:pPr>
        <w:spacing w:line="276" w:lineRule="auto"/>
      </w:pPr>
    </w:p>
    <w:p w14:paraId="78097A0C" w14:textId="77777777" w:rsidR="00E7470B" w:rsidRPr="00E7470B" w:rsidRDefault="00E7470B" w:rsidP="00017440">
      <w:pPr>
        <w:pStyle w:val="Heading2"/>
        <w:numPr>
          <w:ilvl w:val="1"/>
          <w:numId w:val="16"/>
        </w:numPr>
        <w:ind w:hanging="720"/>
      </w:pPr>
      <w:bookmarkStart w:id="6" w:name="_Toc173304898"/>
      <w:bookmarkStart w:id="7" w:name="_Toc175132157"/>
      <w:bookmarkStart w:id="8" w:name="_Toc202672330"/>
      <w:r w:rsidRPr="00E7470B">
        <w:t xml:space="preserve">What to review? </w:t>
      </w:r>
    </w:p>
    <w:p w14:paraId="1E9C040A" w14:textId="061DE344" w:rsidR="00E7470B" w:rsidRPr="00E7470B" w:rsidRDefault="00E7470B" w:rsidP="00E7470B">
      <w:pPr>
        <w:spacing w:line="276" w:lineRule="auto"/>
        <w:ind w:left="-709"/>
        <w:jc w:val="both"/>
        <w:rPr>
          <w:sz w:val="22"/>
          <w:szCs w:val="22"/>
        </w:rPr>
      </w:pPr>
      <w:r w:rsidRPr="00E7470B">
        <w:rPr>
          <w:sz w:val="22"/>
          <w:szCs w:val="22"/>
        </w:rPr>
        <w:t>Risks Analysis at all levels of the organisation should be conducted regularly for identified risks including:</w:t>
      </w:r>
    </w:p>
    <w:p w14:paraId="6253B9D7" w14:textId="77777777" w:rsidR="00E7470B" w:rsidRPr="00E7470B" w:rsidRDefault="00E7470B" w:rsidP="00017440">
      <w:pPr>
        <w:numPr>
          <w:ilvl w:val="0"/>
          <w:numId w:val="10"/>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 xml:space="preserve">Making critical project related decisions </w:t>
      </w:r>
    </w:p>
    <w:p w14:paraId="410D4E83" w14:textId="77777777" w:rsidR="00E7470B" w:rsidRPr="00E7470B" w:rsidRDefault="00E7470B" w:rsidP="00017440">
      <w:pPr>
        <w:numPr>
          <w:ilvl w:val="0"/>
          <w:numId w:val="10"/>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Conducting day-to-day management including Work Health and Safety (WHS)  considerations</w:t>
      </w:r>
    </w:p>
    <w:p w14:paraId="3689D686" w14:textId="77777777" w:rsidR="00E7470B" w:rsidRPr="00E7470B" w:rsidRDefault="00E7470B" w:rsidP="00017440">
      <w:pPr>
        <w:numPr>
          <w:ilvl w:val="0"/>
          <w:numId w:val="10"/>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 xml:space="preserve">Establishing new activity or process, and </w:t>
      </w:r>
    </w:p>
    <w:p w14:paraId="60F7B1D6" w14:textId="77777777" w:rsidR="00E7470B" w:rsidRPr="00E7470B" w:rsidRDefault="00E7470B" w:rsidP="00017440">
      <w:pPr>
        <w:numPr>
          <w:ilvl w:val="0"/>
          <w:numId w:val="10"/>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 xml:space="preserve">Making purchases critical to Department/ Section operations. </w:t>
      </w:r>
    </w:p>
    <w:p w14:paraId="196E52CF" w14:textId="77777777" w:rsidR="00E7470B" w:rsidRPr="00E7470B" w:rsidRDefault="00E7470B" w:rsidP="00E7470B">
      <w:pPr>
        <w:spacing w:line="276" w:lineRule="auto"/>
        <w:ind w:left="-709"/>
        <w:jc w:val="both"/>
        <w:rPr>
          <w:sz w:val="22"/>
          <w:szCs w:val="22"/>
        </w:rPr>
      </w:pPr>
      <w:r w:rsidRPr="00E7470B">
        <w:rPr>
          <w:sz w:val="22"/>
          <w:szCs w:val="22"/>
        </w:rPr>
        <w:t>The steps of the risk management process are described below in further detail.</w:t>
      </w:r>
    </w:p>
    <w:p w14:paraId="386B908A" w14:textId="77777777" w:rsidR="00E7470B" w:rsidRPr="00E7470B" w:rsidRDefault="00E7470B" w:rsidP="00E7470B">
      <w:pPr>
        <w:overflowPunct/>
        <w:autoSpaceDE/>
        <w:autoSpaceDN/>
        <w:adjustRightInd/>
        <w:spacing w:after="200" w:line="276" w:lineRule="auto"/>
        <w:ind w:left="567"/>
        <w:contextualSpacing/>
        <w:textAlignment w:val="auto"/>
        <w:outlineLvl w:val="1"/>
        <w:rPr>
          <w:rFonts w:eastAsia="Calibri"/>
          <w:b/>
          <w:color w:val="000000" w:themeColor="text1"/>
          <w:szCs w:val="24"/>
        </w:rPr>
      </w:pPr>
    </w:p>
    <w:p w14:paraId="1194C099" w14:textId="77777777" w:rsidR="00E7470B" w:rsidRPr="00E7470B" w:rsidRDefault="00E7470B" w:rsidP="00AB4F52">
      <w:pPr>
        <w:pStyle w:val="Heading2"/>
        <w:numPr>
          <w:ilvl w:val="1"/>
          <w:numId w:val="16"/>
        </w:numPr>
        <w:ind w:hanging="720"/>
      </w:pPr>
      <w:r w:rsidRPr="00E7470B">
        <w:t>Key Risk Process Steps</w:t>
      </w:r>
      <w:bookmarkEnd w:id="6"/>
      <w:bookmarkEnd w:id="7"/>
      <w:bookmarkEnd w:id="8"/>
    </w:p>
    <w:p w14:paraId="12AD657B" w14:textId="77777777" w:rsidR="00E7470B" w:rsidRPr="00E7470B" w:rsidRDefault="00E7470B" w:rsidP="00E7470B">
      <w:pPr>
        <w:spacing w:line="276" w:lineRule="auto"/>
        <w:ind w:left="-709"/>
        <w:jc w:val="both"/>
        <w:rPr>
          <w:sz w:val="22"/>
          <w:szCs w:val="22"/>
        </w:rPr>
      </w:pPr>
      <w:r w:rsidRPr="00E7470B">
        <w:rPr>
          <w:sz w:val="22"/>
          <w:szCs w:val="22"/>
        </w:rPr>
        <w:t>The process for managing SAHMRI’s risks involves a number of key steps and includes feedback through monitoring, review, communication and consultation processes:</w:t>
      </w:r>
    </w:p>
    <w:p w14:paraId="211AE67E" w14:textId="77777777" w:rsidR="00E7470B" w:rsidRPr="00E7470B" w:rsidRDefault="00E7470B" w:rsidP="00017440">
      <w:pPr>
        <w:numPr>
          <w:ilvl w:val="0"/>
          <w:numId w:val="5"/>
        </w:numPr>
        <w:spacing w:line="276" w:lineRule="auto"/>
        <w:rPr>
          <w:sz w:val="22"/>
          <w:szCs w:val="22"/>
        </w:rPr>
      </w:pPr>
      <w:r w:rsidRPr="00E7470B">
        <w:rPr>
          <w:sz w:val="22"/>
          <w:szCs w:val="22"/>
        </w:rPr>
        <w:t>Establish the context</w:t>
      </w:r>
    </w:p>
    <w:p w14:paraId="20093C34" w14:textId="77777777" w:rsidR="00E7470B" w:rsidRPr="00E7470B" w:rsidRDefault="00E7470B" w:rsidP="00017440">
      <w:pPr>
        <w:numPr>
          <w:ilvl w:val="0"/>
          <w:numId w:val="5"/>
        </w:numPr>
        <w:spacing w:line="276" w:lineRule="auto"/>
        <w:rPr>
          <w:sz w:val="22"/>
          <w:szCs w:val="22"/>
        </w:rPr>
      </w:pPr>
      <w:r w:rsidRPr="00E7470B">
        <w:rPr>
          <w:sz w:val="22"/>
          <w:szCs w:val="22"/>
        </w:rPr>
        <w:t>Identify risks</w:t>
      </w:r>
    </w:p>
    <w:p w14:paraId="1D5754DC" w14:textId="77777777" w:rsidR="00E7470B" w:rsidRPr="00E7470B" w:rsidRDefault="00E7470B" w:rsidP="00017440">
      <w:pPr>
        <w:numPr>
          <w:ilvl w:val="0"/>
          <w:numId w:val="5"/>
        </w:numPr>
        <w:spacing w:line="276" w:lineRule="auto"/>
        <w:rPr>
          <w:sz w:val="22"/>
          <w:szCs w:val="22"/>
        </w:rPr>
      </w:pPr>
      <w:r w:rsidRPr="00E7470B">
        <w:rPr>
          <w:sz w:val="22"/>
          <w:szCs w:val="22"/>
        </w:rPr>
        <w:t>Analyse risks</w:t>
      </w:r>
    </w:p>
    <w:p w14:paraId="3A5F37B7" w14:textId="77777777" w:rsidR="00E7470B" w:rsidRPr="00E7470B" w:rsidRDefault="00E7470B" w:rsidP="00017440">
      <w:pPr>
        <w:numPr>
          <w:ilvl w:val="0"/>
          <w:numId w:val="5"/>
        </w:numPr>
        <w:spacing w:line="276" w:lineRule="auto"/>
        <w:rPr>
          <w:sz w:val="22"/>
          <w:szCs w:val="22"/>
        </w:rPr>
      </w:pPr>
      <w:r w:rsidRPr="00E7470B">
        <w:rPr>
          <w:sz w:val="22"/>
          <w:szCs w:val="22"/>
        </w:rPr>
        <w:t>Evaluate risks</w:t>
      </w:r>
    </w:p>
    <w:p w14:paraId="71E93F5E" w14:textId="77777777" w:rsidR="00E7470B" w:rsidRPr="00E7470B" w:rsidRDefault="00E7470B" w:rsidP="00017440">
      <w:pPr>
        <w:numPr>
          <w:ilvl w:val="0"/>
          <w:numId w:val="5"/>
        </w:numPr>
        <w:spacing w:line="276" w:lineRule="auto"/>
        <w:rPr>
          <w:sz w:val="22"/>
          <w:szCs w:val="22"/>
        </w:rPr>
      </w:pPr>
      <w:r w:rsidRPr="00E7470B">
        <w:rPr>
          <w:sz w:val="22"/>
          <w:szCs w:val="22"/>
        </w:rPr>
        <w:t>Treat risks</w:t>
      </w:r>
    </w:p>
    <w:p w14:paraId="1C30FBD3" w14:textId="77777777" w:rsidR="00E7470B" w:rsidRPr="00E7470B" w:rsidRDefault="00E7470B" w:rsidP="00017440">
      <w:pPr>
        <w:numPr>
          <w:ilvl w:val="0"/>
          <w:numId w:val="5"/>
        </w:numPr>
        <w:spacing w:line="276" w:lineRule="auto"/>
        <w:rPr>
          <w:sz w:val="22"/>
          <w:szCs w:val="22"/>
        </w:rPr>
      </w:pPr>
      <w:r w:rsidRPr="00E7470B">
        <w:rPr>
          <w:sz w:val="22"/>
          <w:szCs w:val="22"/>
        </w:rPr>
        <w:t>Monitor and review</w:t>
      </w:r>
    </w:p>
    <w:p w14:paraId="1E399F1A" w14:textId="77777777" w:rsidR="00E7470B" w:rsidRPr="00E7470B" w:rsidRDefault="00E7470B" w:rsidP="00017440">
      <w:pPr>
        <w:numPr>
          <w:ilvl w:val="0"/>
          <w:numId w:val="5"/>
        </w:numPr>
        <w:spacing w:line="276" w:lineRule="auto"/>
        <w:rPr>
          <w:sz w:val="22"/>
          <w:szCs w:val="22"/>
        </w:rPr>
      </w:pPr>
      <w:r w:rsidRPr="00E7470B">
        <w:rPr>
          <w:sz w:val="22"/>
          <w:szCs w:val="22"/>
        </w:rPr>
        <w:t>Communicate and consult</w:t>
      </w:r>
    </w:p>
    <w:p w14:paraId="23996CEF" w14:textId="77777777" w:rsidR="00E7470B" w:rsidRPr="00E7470B" w:rsidRDefault="00E7470B" w:rsidP="00E7470B">
      <w:pPr>
        <w:spacing w:line="276" w:lineRule="auto"/>
        <w:rPr>
          <w:sz w:val="22"/>
          <w:szCs w:val="22"/>
        </w:rPr>
      </w:pPr>
    </w:p>
    <w:p w14:paraId="4FF4C10C" w14:textId="77777777" w:rsidR="00E7470B" w:rsidRPr="00E7470B" w:rsidRDefault="00E7470B" w:rsidP="00E7470B">
      <w:pPr>
        <w:spacing w:line="276" w:lineRule="auto"/>
        <w:ind w:left="-709"/>
        <w:jc w:val="both"/>
        <w:rPr>
          <w:sz w:val="22"/>
          <w:szCs w:val="22"/>
        </w:rPr>
      </w:pPr>
      <w:r w:rsidRPr="00E7470B">
        <w:rPr>
          <w:sz w:val="22"/>
          <w:szCs w:val="22"/>
        </w:rPr>
        <w:t xml:space="preserve">It is important to follow this process when conducting risk management as this ensures that SAHMRI approach to risk management is both comprehensive and consistent.  </w:t>
      </w:r>
    </w:p>
    <w:p w14:paraId="7B9EDA59"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
          <w:bCs/>
          <w:szCs w:val="24"/>
          <w:lang w:eastAsia="en-AU"/>
        </w:rPr>
      </w:pPr>
      <w:r w:rsidRPr="00E7470B">
        <w:rPr>
          <w:rFonts w:eastAsiaTheme="minorHAnsi"/>
          <w:b/>
          <w:bCs/>
          <w:szCs w:val="24"/>
          <w:lang w:eastAsia="en-AU"/>
        </w:rPr>
        <w:t>4.4.1</w:t>
      </w:r>
      <w:r w:rsidRPr="00E7470B">
        <w:rPr>
          <w:rFonts w:eastAsiaTheme="minorHAnsi"/>
          <w:b/>
          <w:bCs/>
          <w:szCs w:val="24"/>
          <w:lang w:eastAsia="en-AU"/>
        </w:rPr>
        <w:tab/>
        <w:t xml:space="preserve"> Risk Identification</w:t>
      </w:r>
    </w:p>
    <w:p w14:paraId="182B853E" w14:textId="77777777" w:rsidR="00E7470B" w:rsidRPr="00E7470B" w:rsidRDefault="00E7470B" w:rsidP="00E7470B">
      <w:pPr>
        <w:spacing w:line="276" w:lineRule="auto"/>
        <w:ind w:left="-709"/>
        <w:jc w:val="both"/>
        <w:rPr>
          <w:sz w:val="22"/>
          <w:szCs w:val="22"/>
        </w:rPr>
      </w:pPr>
      <w:r w:rsidRPr="00E7470B">
        <w:rPr>
          <w:sz w:val="22"/>
          <w:szCs w:val="22"/>
        </w:rPr>
        <w:t xml:space="preserve">Risks are identified as part of the process to determine and understand external and internal issues that are relevant to SAHMRI strategic direction. </w:t>
      </w:r>
      <w:r w:rsidRPr="00E7470B">
        <w:rPr>
          <w:rFonts w:eastAsiaTheme="minorHAnsi"/>
          <w:sz w:val="22"/>
          <w:szCs w:val="22"/>
        </w:rPr>
        <w:t xml:space="preserve">This is undertaken by identifying and documenting the context of the risks including activities, products or services and the associated with them risks. Identification should include all risks which impact the achievement of the objectives. </w:t>
      </w:r>
    </w:p>
    <w:p w14:paraId="58A34735" w14:textId="77777777" w:rsidR="00E7470B" w:rsidRPr="00E7470B" w:rsidRDefault="00E7470B" w:rsidP="00E7470B">
      <w:pPr>
        <w:overflowPunct/>
        <w:spacing w:line="276" w:lineRule="auto"/>
        <w:ind w:left="-709"/>
        <w:jc w:val="both"/>
        <w:textAlignment w:val="auto"/>
        <w:rPr>
          <w:rFonts w:eastAsiaTheme="minorHAnsi"/>
          <w:sz w:val="22"/>
          <w:szCs w:val="22"/>
        </w:rPr>
      </w:pPr>
    </w:p>
    <w:p w14:paraId="0AEF9220" w14:textId="77777777" w:rsidR="00E7470B" w:rsidRPr="00E7470B" w:rsidRDefault="00E7470B" w:rsidP="00E7470B">
      <w:pPr>
        <w:overflowPunct/>
        <w:spacing w:line="276" w:lineRule="auto"/>
        <w:ind w:left="-709"/>
        <w:jc w:val="both"/>
        <w:textAlignment w:val="auto"/>
        <w:rPr>
          <w:rFonts w:eastAsiaTheme="minorHAnsi"/>
          <w:sz w:val="22"/>
          <w:szCs w:val="22"/>
        </w:rPr>
      </w:pPr>
      <w:r w:rsidRPr="00E7470B">
        <w:rPr>
          <w:rFonts w:eastAsiaTheme="minorHAnsi"/>
          <w:sz w:val="22"/>
          <w:szCs w:val="22"/>
        </w:rPr>
        <w:t>Comprehensive identification of risks is important because a potential risk not identified at this stage will not be included in further analysis. There are many methods for identifying risk, including facilitated brainstorming, interviews, questionnaires, workshops and shelf data analysis.</w:t>
      </w:r>
    </w:p>
    <w:p w14:paraId="23C58F3F" w14:textId="77777777" w:rsidR="00E7470B" w:rsidRPr="00E7470B" w:rsidRDefault="00E7470B" w:rsidP="00E7470B">
      <w:pPr>
        <w:overflowPunct/>
        <w:spacing w:line="276" w:lineRule="auto"/>
        <w:textAlignment w:val="auto"/>
        <w:rPr>
          <w:rFonts w:eastAsiaTheme="minorHAnsi"/>
          <w:sz w:val="22"/>
          <w:szCs w:val="22"/>
        </w:rPr>
      </w:pPr>
    </w:p>
    <w:p w14:paraId="6D153183" w14:textId="00761748" w:rsidR="00E7470B" w:rsidRPr="00E7470B" w:rsidRDefault="00E7470B" w:rsidP="00E7470B">
      <w:pPr>
        <w:overflowPunct/>
        <w:spacing w:line="276" w:lineRule="auto"/>
        <w:ind w:left="-709"/>
        <w:jc w:val="both"/>
        <w:textAlignment w:val="auto"/>
        <w:rPr>
          <w:rFonts w:eastAsiaTheme="minorHAnsi"/>
          <w:sz w:val="22"/>
          <w:szCs w:val="22"/>
        </w:rPr>
      </w:pPr>
      <w:r w:rsidRPr="00E7470B">
        <w:rPr>
          <w:rFonts w:eastAsiaTheme="minorHAnsi"/>
          <w:sz w:val="22"/>
          <w:szCs w:val="22"/>
        </w:rPr>
        <w:t xml:space="preserve">As part of SAHMRI’s risk identification process, all risks are assigned to one of risk categories as set out in Appendix 1. </w:t>
      </w:r>
    </w:p>
    <w:p w14:paraId="61194F52"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
          <w:bCs/>
          <w:szCs w:val="24"/>
          <w:lang w:eastAsia="en-AU"/>
        </w:rPr>
      </w:pPr>
      <w:r w:rsidRPr="00E7470B">
        <w:rPr>
          <w:rFonts w:eastAsiaTheme="minorHAnsi"/>
          <w:b/>
          <w:bCs/>
          <w:szCs w:val="24"/>
          <w:lang w:eastAsia="en-AU"/>
        </w:rPr>
        <w:t>4.4.2 Risk Analysis</w:t>
      </w:r>
    </w:p>
    <w:p w14:paraId="2304E9D0"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Cs/>
          <w:szCs w:val="24"/>
          <w:u w:val="single"/>
          <w:lang w:eastAsia="en-AU"/>
        </w:rPr>
      </w:pPr>
      <w:r w:rsidRPr="00E7470B">
        <w:rPr>
          <w:rFonts w:eastAsiaTheme="minorHAnsi"/>
          <w:bCs/>
          <w:szCs w:val="24"/>
          <w:u w:val="single"/>
          <w:lang w:eastAsia="en-AU"/>
        </w:rPr>
        <w:t>Establishing likelihood and consequence</w:t>
      </w:r>
    </w:p>
    <w:p w14:paraId="0E8A8F0E" w14:textId="77777777" w:rsidR="00E7470B" w:rsidRPr="00E7470B" w:rsidRDefault="00E7470B" w:rsidP="00E7470B">
      <w:pPr>
        <w:overflowPunct/>
        <w:spacing w:after="120" w:line="276" w:lineRule="auto"/>
        <w:ind w:left="-709"/>
        <w:jc w:val="both"/>
        <w:textAlignment w:val="auto"/>
        <w:rPr>
          <w:rFonts w:eastAsiaTheme="minorHAnsi"/>
          <w:sz w:val="22"/>
          <w:szCs w:val="22"/>
        </w:rPr>
      </w:pPr>
      <w:r w:rsidRPr="00E7470B">
        <w:rPr>
          <w:rFonts w:eastAsiaTheme="minorHAnsi"/>
          <w:sz w:val="22"/>
          <w:szCs w:val="22"/>
        </w:rPr>
        <w:t xml:space="preserve">Once all risks have been identified they are analysed in terms of how likely the risk event is to occur (Likelihood) and the possible magnitude of the risk event (Consequence), using established criteria. These criteria are documented in the rating scales developed by SAHMRI (see Appendix1) </w:t>
      </w:r>
    </w:p>
    <w:p w14:paraId="749ED24A" w14:textId="77777777" w:rsidR="00E7470B" w:rsidRPr="00E7470B" w:rsidRDefault="00E7470B" w:rsidP="00E7470B">
      <w:pPr>
        <w:overflowPunct/>
        <w:spacing w:line="276" w:lineRule="auto"/>
        <w:ind w:left="-709"/>
        <w:jc w:val="both"/>
        <w:textAlignment w:val="auto"/>
        <w:rPr>
          <w:rFonts w:eastAsiaTheme="minorHAnsi"/>
          <w:sz w:val="22"/>
          <w:szCs w:val="22"/>
        </w:rPr>
      </w:pPr>
    </w:p>
    <w:p w14:paraId="0BF668A8" w14:textId="5672E2F0" w:rsidR="00E7470B" w:rsidRPr="00E7470B" w:rsidRDefault="00E7470B" w:rsidP="00E7470B">
      <w:pPr>
        <w:overflowPunct/>
        <w:spacing w:line="276" w:lineRule="auto"/>
        <w:ind w:left="-709"/>
        <w:jc w:val="both"/>
        <w:textAlignment w:val="auto"/>
        <w:rPr>
          <w:rFonts w:eastAsiaTheme="minorHAnsi"/>
          <w:sz w:val="22"/>
          <w:szCs w:val="22"/>
        </w:rPr>
      </w:pPr>
      <w:r w:rsidRPr="00E7470B">
        <w:rPr>
          <w:rFonts w:eastAsiaTheme="minorHAnsi"/>
          <w:b/>
          <w:sz w:val="22"/>
          <w:szCs w:val="22"/>
        </w:rPr>
        <w:t>Likelihood</w:t>
      </w:r>
      <w:r w:rsidRPr="00E7470B">
        <w:rPr>
          <w:rFonts w:eastAsiaTheme="minorHAnsi"/>
          <w:sz w:val="22"/>
          <w:szCs w:val="22"/>
        </w:rPr>
        <w:t xml:space="preserve"> is rated </w:t>
      </w:r>
      <w:r w:rsidRPr="00F6165B">
        <w:rPr>
          <w:rFonts w:eastAsiaTheme="minorHAnsi"/>
          <w:sz w:val="22"/>
          <w:szCs w:val="22"/>
        </w:rPr>
        <w:t xml:space="preserve">from Rare to Certain based </w:t>
      </w:r>
      <w:r w:rsidRPr="00E7470B">
        <w:rPr>
          <w:rFonts w:eastAsiaTheme="minorHAnsi"/>
          <w:sz w:val="22"/>
          <w:szCs w:val="22"/>
        </w:rPr>
        <w:t xml:space="preserve">on an assessment of the risk event manifesting in a one year period. </w:t>
      </w:r>
    </w:p>
    <w:p w14:paraId="0719AD9B" w14:textId="77777777" w:rsidR="00E7470B" w:rsidRPr="00E7470B" w:rsidRDefault="00E7470B" w:rsidP="00E7470B">
      <w:pPr>
        <w:overflowPunct/>
        <w:spacing w:line="276" w:lineRule="auto"/>
        <w:ind w:left="-709"/>
        <w:jc w:val="both"/>
        <w:textAlignment w:val="auto"/>
        <w:rPr>
          <w:rFonts w:eastAsiaTheme="minorHAnsi"/>
          <w:b/>
          <w:sz w:val="22"/>
          <w:szCs w:val="22"/>
        </w:rPr>
      </w:pPr>
    </w:p>
    <w:p w14:paraId="7F25CC1A" w14:textId="77777777" w:rsidR="00E7470B" w:rsidRPr="00E7470B" w:rsidRDefault="00E7470B" w:rsidP="00E7470B">
      <w:pPr>
        <w:overflowPunct/>
        <w:spacing w:line="276" w:lineRule="auto"/>
        <w:ind w:left="-709"/>
        <w:jc w:val="both"/>
        <w:textAlignment w:val="auto"/>
        <w:rPr>
          <w:rFonts w:eastAsiaTheme="minorHAnsi"/>
          <w:sz w:val="22"/>
          <w:szCs w:val="22"/>
        </w:rPr>
      </w:pPr>
      <w:r w:rsidRPr="00F6165B">
        <w:rPr>
          <w:rFonts w:eastAsiaTheme="minorHAnsi"/>
          <w:b/>
          <w:sz w:val="22"/>
          <w:szCs w:val="22"/>
        </w:rPr>
        <w:t>Consequence</w:t>
      </w:r>
      <w:r w:rsidRPr="00F6165B">
        <w:rPr>
          <w:rFonts w:eastAsiaTheme="minorHAnsi"/>
          <w:sz w:val="22"/>
          <w:szCs w:val="22"/>
        </w:rPr>
        <w:t xml:space="preserve"> is rated giving consideration to the impact on the organisation should the risk manifest from Insignificant to Catastrophic. It </w:t>
      </w:r>
      <w:r w:rsidRPr="00E7470B">
        <w:rPr>
          <w:rFonts w:eastAsiaTheme="minorHAnsi"/>
          <w:sz w:val="22"/>
          <w:szCs w:val="22"/>
        </w:rPr>
        <w:t>should be noted that Consequence is rated independently of the Likelihood of a risk manifesting.</w:t>
      </w:r>
    </w:p>
    <w:p w14:paraId="6813F582" w14:textId="77777777" w:rsidR="00E7470B" w:rsidRPr="00E7470B" w:rsidRDefault="00E7470B" w:rsidP="00E7470B">
      <w:pPr>
        <w:overflowPunct/>
        <w:autoSpaceDE/>
        <w:autoSpaceDN/>
        <w:adjustRightInd/>
        <w:spacing w:line="276" w:lineRule="auto"/>
        <w:ind w:left="567"/>
        <w:jc w:val="both"/>
        <w:textAlignment w:val="auto"/>
        <w:rPr>
          <w:rFonts w:eastAsiaTheme="minorHAnsi"/>
          <w:sz w:val="22"/>
          <w:szCs w:val="22"/>
        </w:rPr>
      </w:pPr>
    </w:p>
    <w:p w14:paraId="60BE6400" w14:textId="77777777" w:rsidR="00E7470B" w:rsidRDefault="00E7470B" w:rsidP="00E7470B">
      <w:pPr>
        <w:overflowPunct/>
        <w:autoSpaceDE/>
        <w:autoSpaceDN/>
        <w:adjustRightInd/>
        <w:spacing w:after="200" w:line="276" w:lineRule="auto"/>
        <w:ind w:left="-709"/>
        <w:contextualSpacing/>
        <w:jc w:val="both"/>
        <w:textAlignment w:val="auto"/>
        <w:rPr>
          <w:rFonts w:eastAsia="Calibri"/>
          <w:sz w:val="22"/>
          <w:szCs w:val="22"/>
        </w:rPr>
      </w:pPr>
      <w:r w:rsidRPr="00E7470B">
        <w:rPr>
          <w:rFonts w:eastAsia="Calibri"/>
          <w:sz w:val="22"/>
          <w:szCs w:val="22"/>
        </w:rPr>
        <w:t xml:space="preserve">From this analysis the level of </w:t>
      </w:r>
      <w:r w:rsidRPr="00E7470B">
        <w:rPr>
          <w:rFonts w:eastAsia="Calibri"/>
          <w:b/>
          <w:sz w:val="22"/>
          <w:szCs w:val="22"/>
        </w:rPr>
        <w:t>Inherent Risk</w:t>
      </w:r>
      <w:r w:rsidRPr="00E7470B">
        <w:rPr>
          <w:rFonts w:eastAsia="Calibri"/>
          <w:sz w:val="22"/>
          <w:szCs w:val="22"/>
        </w:rPr>
        <w:t xml:space="preserve"> can be determined. It is important to note that the Inherent Risk analysis is determined in the absence of any controls which may already be in place.</w:t>
      </w:r>
    </w:p>
    <w:p w14:paraId="02925171" w14:textId="77777777" w:rsidR="00AB4F52" w:rsidRPr="00E7470B" w:rsidRDefault="00AB4F52" w:rsidP="00E7470B">
      <w:pPr>
        <w:overflowPunct/>
        <w:autoSpaceDE/>
        <w:autoSpaceDN/>
        <w:adjustRightInd/>
        <w:spacing w:after="200" w:line="276" w:lineRule="auto"/>
        <w:ind w:left="-709"/>
        <w:contextualSpacing/>
        <w:jc w:val="both"/>
        <w:textAlignment w:val="auto"/>
        <w:rPr>
          <w:rFonts w:eastAsia="Calibri"/>
          <w:sz w:val="22"/>
          <w:szCs w:val="22"/>
        </w:rPr>
      </w:pPr>
    </w:p>
    <w:p w14:paraId="030F43CC"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Cs/>
          <w:szCs w:val="24"/>
          <w:u w:val="single"/>
          <w:lang w:eastAsia="en-AU"/>
        </w:rPr>
      </w:pPr>
      <w:r w:rsidRPr="00E7470B">
        <w:rPr>
          <w:rFonts w:eastAsiaTheme="minorHAnsi"/>
          <w:bCs/>
          <w:szCs w:val="24"/>
          <w:u w:val="single"/>
          <w:lang w:eastAsia="en-AU"/>
        </w:rPr>
        <w:t>Establishing the inherent risk rating</w:t>
      </w:r>
    </w:p>
    <w:p w14:paraId="7BA89CE2"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sz w:val="22"/>
          <w:szCs w:val="22"/>
        </w:rPr>
      </w:pPr>
      <w:r w:rsidRPr="00E7470B">
        <w:rPr>
          <w:rFonts w:eastAsia="Calibri"/>
          <w:sz w:val="22"/>
          <w:szCs w:val="22"/>
        </w:rPr>
        <w:t>The Inherent Risk rating for each risk is calculated by using the Likelihood and Consequence response scores and the SAHMRI’s Risk Rating Matrix as set out in Appendix 1. The Matrix provides the following overall risk ratings:</w:t>
      </w:r>
    </w:p>
    <w:p w14:paraId="0E9777A7" w14:textId="77777777" w:rsidR="00E7470B" w:rsidRPr="00E7470B" w:rsidRDefault="00E7470B" w:rsidP="00017440">
      <w:pPr>
        <w:numPr>
          <w:ilvl w:val="0"/>
          <w:numId w:val="7"/>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Extreme risk- immediate action required along with senior management commitment</w:t>
      </w:r>
    </w:p>
    <w:p w14:paraId="63D5FB49" w14:textId="77777777" w:rsidR="00E7470B" w:rsidRPr="00E7470B" w:rsidRDefault="00E7470B" w:rsidP="00017440">
      <w:pPr>
        <w:numPr>
          <w:ilvl w:val="0"/>
          <w:numId w:val="7"/>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High risk- senior management attention and development of an action plan is required</w:t>
      </w:r>
    </w:p>
    <w:p w14:paraId="23161383" w14:textId="77777777" w:rsidR="00E7470B" w:rsidRPr="00E7470B" w:rsidRDefault="00E7470B" w:rsidP="00017440">
      <w:pPr>
        <w:numPr>
          <w:ilvl w:val="0"/>
          <w:numId w:val="7"/>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Medium risk-  Management responsibility must be specified (i.e. accountability defined)</w:t>
      </w:r>
    </w:p>
    <w:p w14:paraId="20F742F6" w14:textId="77777777" w:rsidR="00E7470B" w:rsidRPr="00E7470B" w:rsidRDefault="00E7470B" w:rsidP="00017440">
      <w:pPr>
        <w:numPr>
          <w:ilvl w:val="0"/>
          <w:numId w:val="7"/>
        </w:numPr>
        <w:overflowPunct/>
        <w:autoSpaceDE/>
        <w:autoSpaceDN/>
        <w:adjustRightInd/>
        <w:spacing w:after="200" w:line="276" w:lineRule="auto"/>
        <w:contextualSpacing/>
        <w:jc w:val="both"/>
        <w:textAlignment w:val="auto"/>
        <w:rPr>
          <w:rFonts w:eastAsia="Calibri"/>
          <w:sz w:val="22"/>
          <w:szCs w:val="22"/>
        </w:rPr>
      </w:pPr>
      <w:r w:rsidRPr="00E7470B">
        <w:rPr>
          <w:rFonts w:eastAsia="Calibri"/>
          <w:sz w:val="22"/>
          <w:szCs w:val="22"/>
        </w:rPr>
        <w:t>Low risk-  manage by routine procedures</w:t>
      </w:r>
    </w:p>
    <w:p w14:paraId="48D09DF3" w14:textId="77777777" w:rsidR="00E7470B" w:rsidRPr="00E7470B" w:rsidRDefault="00E7470B" w:rsidP="00E7470B">
      <w:pPr>
        <w:overflowPunct/>
        <w:autoSpaceDE/>
        <w:autoSpaceDN/>
        <w:adjustRightInd/>
        <w:spacing w:after="200" w:line="276" w:lineRule="auto"/>
        <w:ind w:left="11"/>
        <w:contextualSpacing/>
        <w:jc w:val="both"/>
        <w:textAlignment w:val="auto"/>
        <w:rPr>
          <w:rFonts w:eastAsia="Calibri"/>
          <w:sz w:val="22"/>
          <w:szCs w:val="22"/>
        </w:rPr>
      </w:pPr>
    </w:p>
    <w:p w14:paraId="0648512B"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
          <w:bCs/>
          <w:szCs w:val="24"/>
          <w:lang w:eastAsia="en-AU"/>
        </w:rPr>
      </w:pPr>
      <w:r w:rsidRPr="00E7470B">
        <w:rPr>
          <w:rFonts w:eastAsiaTheme="minorHAnsi"/>
          <w:b/>
          <w:bCs/>
          <w:szCs w:val="24"/>
          <w:lang w:eastAsia="en-AU"/>
        </w:rPr>
        <w:t>4.4.3 Risk Evaluation</w:t>
      </w:r>
    </w:p>
    <w:p w14:paraId="1F5E8297" w14:textId="77777777" w:rsid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 xml:space="preserve">The purpose of the Risk Evaluation is to assist in making decisions, based on the outcomes of risk analysis, about which risks need treatment as well as the priority for treatment implementation. The evaluation involves comparing the level of risk to the SAHMRI risk criteria. Based on this comparison the need for treatment can be considered. </w:t>
      </w:r>
    </w:p>
    <w:p w14:paraId="424B0915" w14:textId="77777777" w:rsidR="00AB4F52" w:rsidRPr="00E7470B" w:rsidRDefault="00AB4F52"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07C49587"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
          <w:bCs/>
          <w:szCs w:val="24"/>
          <w:lang w:eastAsia="en-AU"/>
        </w:rPr>
      </w:pPr>
      <w:r w:rsidRPr="00E7470B">
        <w:rPr>
          <w:rFonts w:eastAsiaTheme="minorHAnsi"/>
          <w:b/>
          <w:bCs/>
          <w:szCs w:val="24"/>
          <w:lang w:eastAsia="en-AU"/>
        </w:rPr>
        <w:t>4.4.4 Risk Tolerance</w:t>
      </w:r>
    </w:p>
    <w:p w14:paraId="1BA91823"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sz w:val="22"/>
          <w:szCs w:val="22"/>
        </w:rPr>
      </w:pPr>
      <w:r w:rsidRPr="00E7470B">
        <w:rPr>
          <w:rFonts w:eastAsia="Calibri"/>
          <w:sz w:val="22"/>
          <w:szCs w:val="22"/>
        </w:rPr>
        <w:t xml:space="preserve">SAHMRI’s Risk Tolerance is to manage all risks to a risk level of medium or low. Accordingly, all Inherent Risks ranked as extreme or high require detailed analysis of controls and mitigating practices to determine the Residual Risk rating. </w:t>
      </w:r>
    </w:p>
    <w:p w14:paraId="410FC41E"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sz w:val="22"/>
          <w:szCs w:val="22"/>
        </w:rPr>
      </w:pPr>
    </w:p>
    <w:p w14:paraId="14E37EBB"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Consider any controls or mitigating activities that reduce the level of risk. These controls or mitigating activities need to be identified, documented and assessed based on criteria established by SAHMRI.</w:t>
      </w:r>
    </w:p>
    <w:p w14:paraId="76817883"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sz w:val="22"/>
          <w:szCs w:val="22"/>
        </w:rPr>
      </w:pPr>
    </w:p>
    <w:p w14:paraId="5FF93CB6" w14:textId="77777777" w:rsidR="00E7470B" w:rsidRPr="00E7470B" w:rsidRDefault="00E7470B" w:rsidP="00E7470B">
      <w:pPr>
        <w:overflowPunct/>
        <w:autoSpaceDE/>
        <w:autoSpaceDN/>
        <w:adjustRightInd/>
        <w:spacing w:before="100" w:beforeAutospacing="1" w:after="120" w:line="240" w:lineRule="auto"/>
        <w:ind w:left="-142"/>
        <w:textAlignment w:val="auto"/>
        <w:outlineLvl w:val="2"/>
        <w:rPr>
          <w:rFonts w:eastAsiaTheme="minorHAnsi"/>
          <w:b/>
          <w:bCs/>
          <w:szCs w:val="24"/>
          <w:lang w:eastAsia="en-AU"/>
        </w:rPr>
      </w:pPr>
      <w:r w:rsidRPr="00E7470B">
        <w:rPr>
          <w:rFonts w:eastAsiaTheme="minorHAnsi"/>
          <w:b/>
          <w:bCs/>
          <w:szCs w:val="24"/>
          <w:lang w:eastAsia="en-AU"/>
        </w:rPr>
        <w:t>4.4.5 Assessment of Controls</w:t>
      </w:r>
    </w:p>
    <w:p w14:paraId="779B0D85" w14:textId="77777777" w:rsidR="00E7470B" w:rsidRPr="00E7470B" w:rsidRDefault="00E7470B" w:rsidP="00E7470B">
      <w:pPr>
        <w:overflowPunct/>
        <w:autoSpaceDE/>
        <w:autoSpaceDN/>
        <w:adjustRightInd/>
        <w:spacing w:after="200" w:line="276" w:lineRule="auto"/>
        <w:ind w:left="-709"/>
        <w:contextualSpacing/>
        <w:textAlignment w:val="auto"/>
        <w:rPr>
          <w:rFonts w:eastAsia="Calibri"/>
          <w:color w:val="000000" w:themeColor="text1"/>
          <w:sz w:val="22"/>
          <w:szCs w:val="22"/>
        </w:rPr>
      </w:pPr>
      <w:r w:rsidRPr="00E7470B">
        <w:rPr>
          <w:rFonts w:eastAsia="Calibri"/>
          <w:color w:val="000000" w:themeColor="text1"/>
          <w:sz w:val="22"/>
          <w:szCs w:val="22"/>
        </w:rPr>
        <w:t>In order to determine the extent to which controls/ treatment practices reduce the level of risk, it is necessary to consider their effectiveness in the context of:</w:t>
      </w:r>
    </w:p>
    <w:p w14:paraId="1262ADBE"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Design</w:t>
      </w:r>
    </w:p>
    <w:p w14:paraId="6EB00067"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Communication</w:t>
      </w:r>
    </w:p>
    <w:p w14:paraId="710C59F7"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Operation</w:t>
      </w:r>
    </w:p>
    <w:p w14:paraId="01E43DF6"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Application</w:t>
      </w:r>
    </w:p>
    <w:p w14:paraId="2C29C921"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Documentation</w:t>
      </w:r>
    </w:p>
    <w:p w14:paraId="5A15CAC2"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Defined responsibility and accountability</w:t>
      </w:r>
    </w:p>
    <w:p w14:paraId="1110682B"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Monitoring and review processes</w:t>
      </w:r>
    </w:p>
    <w:p w14:paraId="3D78FE7B" w14:textId="77777777" w:rsidR="00E7470B" w:rsidRPr="00E7470B" w:rsidRDefault="00E7470B" w:rsidP="00E7470B">
      <w:pPr>
        <w:overflowPunct/>
        <w:autoSpaceDE/>
        <w:autoSpaceDN/>
        <w:adjustRightInd/>
        <w:spacing w:after="200" w:line="276" w:lineRule="auto"/>
        <w:ind w:left="-709"/>
        <w:contextualSpacing/>
        <w:textAlignment w:val="auto"/>
        <w:rPr>
          <w:rFonts w:eastAsia="Calibri"/>
          <w:color w:val="000000" w:themeColor="text1"/>
          <w:sz w:val="22"/>
          <w:szCs w:val="22"/>
        </w:rPr>
      </w:pPr>
    </w:p>
    <w:p w14:paraId="65C78BC0" w14:textId="77777777" w:rsid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SAHMRI’s internal audit process will provide required assurance in regards to the effectiveness of the assigned controls and implemented treatment plans. The identified controls are documented in the Risk Register (ref. Intelex System).</w:t>
      </w:r>
    </w:p>
    <w:p w14:paraId="53A84AD7" w14:textId="77777777" w:rsidR="00AB4F52" w:rsidRPr="00E7470B" w:rsidRDefault="00AB4F52"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33492123" w14:textId="77777777" w:rsidR="00E7470B" w:rsidRPr="00E7470B" w:rsidRDefault="00E7470B" w:rsidP="00E7470B">
      <w:pPr>
        <w:overflowPunct/>
        <w:autoSpaceDE/>
        <w:autoSpaceDN/>
        <w:adjustRightInd/>
        <w:spacing w:before="100" w:beforeAutospacing="1" w:after="120" w:line="240" w:lineRule="auto"/>
        <w:ind w:left="567" w:hanging="851"/>
        <w:textAlignment w:val="auto"/>
        <w:outlineLvl w:val="2"/>
        <w:rPr>
          <w:rFonts w:eastAsiaTheme="minorHAnsi"/>
          <w:b/>
          <w:bCs/>
          <w:szCs w:val="24"/>
          <w:lang w:eastAsia="en-AU"/>
        </w:rPr>
      </w:pPr>
      <w:r w:rsidRPr="00E7470B">
        <w:rPr>
          <w:rFonts w:eastAsiaTheme="minorHAnsi"/>
          <w:b/>
          <w:bCs/>
          <w:szCs w:val="24"/>
          <w:lang w:eastAsia="en-AU"/>
        </w:rPr>
        <w:t>4.4.6 Residual Risk Assessment</w:t>
      </w:r>
    </w:p>
    <w:p w14:paraId="17891422"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 xml:space="preserve">Once controls have been identified and their effectiveness assessed, the risk is re-rated based on the SAHMRI Risk Matrix (Appendix 1.), i.e. determining the </w:t>
      </w:r>
      <w:r w:rsidRPr="00E7470B">
        <w:rPr>
          <w:rFonts w:eastAsia="Calibri"/>
          <w:b/>
          <w:color w:val="000000" w:themeColor="text1"/>
          <w:sz w:val="22"/>
          <w:szCs w:val="22"/>
        </w:rPr>
        <w:t>Likelihood</w:t>
      </w:r>
      <w:r w:rsidRPr="00E7470B">
        <w:rPr>
          <w:rFonts w:eastAsia="Calibri"/>
          <w:color w:val="000000" w:themeColor="text1"/>
          <w:sz w:val="22"/>
          <w:szCs w:val="22"/>
        </w:rPr>
        <w:t xml:space="preserve"> and </w:t>
      </w:r>
      <w:r w:rsidRPr="00E7470B">
        <w:rPr>
          <w:rFonts w:eastAsia="Calibri"/>
          <w:b/>
          <w:color w:val="000000" w:themeColor="text1"/>
          <w:sz w:val="22"/>
          <w:szCs w:val="22"/>
        </w:rPr>
        <w:t>Consequence</w:t>
      </w:r>
      <w:r w:rsidRPr="00E7470B">
        <w:rPr>
          <w:rFonts w:eastAsia="Calibri"/>
          <w:color w:val="000000" w:themeColor="text1"/>
          <w:sz w:val="22"/>
          <w:szCs w:val="22"/>
        </w:rPr>
        <w:t xml:space="preserve">. At this stage however consideration is given to the effect of the controls in place in reducing the Likelihood or Consequence of the risk. This analysis is referred to as the </w:t>
      </w:r>
      <w:r w:rsidRPr="00E7470B">
        <w:rPr>
          <w:rFonts w:eastAsia="Calibri"/>
          <w:b/>
          <w:color w:val="000000" w:themeColor="text1"/>
          <w:sz w:val="22"/>
          <w:szCs w:val="22"/>
        </w:rPr>
        <w:t>Residual Risk</w:t>
      </w:r>
      <w:r w:rsidRPr="00E7470B">
        <w:rPr>
          <w:rFonts w:eastAsia="Calibri"/>
          <w:color w:val="000000" w:themeColor="text1"/>
          <w:sz w:val="22"/>
          <w:szCs w:val="22"/>
        </w:rPr>
        <w:t xml:space="preserve"> assessment. </w:t>
      </w:r>
    </w:p>
    <w:p w14:paraId="00D61CB8"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31187372" w14:textId="77777777" w:rsid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Any Residual Risks which remain rated as extreme or high require further consideration in terms of this Framework. As such it is necessary to consider options to treat these risks, evaluate the options and develop and document Risk Treatment action plans for implementation.</w:t>
      </w:r>
    </w:p>
    <w:p w14:paraId="7A4BED46" w14:textId="77777777" w:rsidR="00AB4F52" w:rsidRPr="00E7470B" w:rsidRDefault="00AB4F52"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1211A386" w14:textId="77777777" w:rsidR="00E7470B" w:rsidRPr="00E7470B" w:rsidRDefault="00E7470B" w:rsidP="00017440">
      <w:pPr>
        <w:numPr>
          <w:ilvl w:val="2"/>
          <w:numId w:val="12"/>
        </w:numPr>
        <w:overflowPunct/>
        <w:autoSpaceDE/>
        <w:autoSpaceDN/>
        <w:adjustRightInd/>
        <w:spacing w:before="100" w:beforeAutospacing="1" w:after="120" w:line="240" w:lineRule="auto"/>
        <w:ind w:left="426"/>
        <w:textAlignment w:val="auto"/>
        <w:outlineLvl w:val="2"/>
        <w:rPr>
          <w:rFonts w:eastAsiaTheme="minorHAnsi"/>
          <w:b/>
          <w:bCs/>
          <w:szCs w:val="24"/>
          <w:lang w:eastAsia="en-AU"/>
        </w:rPr>
      </w:pPr>
      <w:r w:rsidRPr="00E7470B">
        <w:rPr>
          <w:rFonts w:eastAsiaTheme="minorHAnsi"/>
          <w:b/>
          <w:bCs/>
          <w:szCs w:val="24"/>
          <w:lang w:eastAsia="en-AU"/>
        </w:rPr>
        <w:t xml:space="preserve">Risk Treatment </w:t>
      </w:r>
    </w:p>
    <w:p w14:paraId="49BB191E"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Risk Treatment involves choosing the ways of modifying risks. The Risk Treatment options may include the following:</w:t>
      </w:r>
    </w:p>
    <w:p w14:paraId="29BF7665"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Avoiding the risk</w:t>
      </w:r>
    </w:p>
    <w:p w14:paraId="312DBE6F"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Taking or increasing the risk in order to pursue an opportunity</w:t>
      </w:r>
    </w:p>
    <w:p w14:paraId="42EF7593"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Removing the risk source</w:t>
      </w:r>
    </w:p>
    <w:p w14:paraId="777E6CA7"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Changing the Likelihood</w:t>
      </w:r>
    </w:p>
    <w:p w14:paraId="481B4438"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Changing the Consequence</w:t>
      </w:r>
    </w:p>
    <w:p w14:paraId="5914F46E"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Sharing the risk with another party</w:t>
      </w:r>
    </w:p>
    <w:p w14:paraId="13F202DF" w14:textId="77777777" w:rsidR="00E7470B" w:rsidRPr="00E7470B" w:rsidRDefault="00E7470B" w:rsidP="00017440">
      <w:pPr>
        <w:numPr>
          <w:ilvl w:val="0"/>
          <w:numId w:val="8"/>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Retaining the risk by informed decision</w:t>
      </w:r>
    </w:p>
    <w:p w14:paraId="25737D1C" w14:textId="77777777" w:rsidR="00837BB0" w:rsidRDefault="00837BB0" w:rsidP="00E7470B">
      <w:pPr>
        <w:rPr>
          <w:color w:val="000000" w:themeColor="text1"/>
        </w:rPr>
      </w:pPr>
    </w:p>
    <w:p w14:paraId="5A9356F7" w14:textId="77777777" w:rsidR="00837BB0" w:rsidRPr="00E7470B" w:rsidRDefault="00837BB0" w:rsidP="00E7470B">
      <w:pPr>
        <w:rPr>
          <w:color w:val="000000" w:themeColor="text1"/>
        </w:rPr>
      </w:pPr>
    </w:p>
    <w:p w14:paraId="54182D23" w14:textId="77777777" w:rsidR="00E7470B" w:rsidRPr="00E7470B" w:rsidRDefault="00E7470B" w:rsidP="00AB4F52">
      <w:pPr>
        <w:pStyle w:val="Heading1"/>
      </w:pPr>
      <w:r w:rsidRPr="00E7470B">
        <w:t>Monitor and Review</w:t>
      </w:r>
    </w:p>
    <w:p w14:paraId="3E8885B6" w14:textId="77777777" w:rsidR="00E7470B" w:rsidRPr="00E7470B" w:rsidRDefault="00E7470B" w:rsidP="00E7470B">
      <w:pPr>
        <w:spacing w:line="276" w:lineRule="auto"/>
        <w:ind w:left="-709"/>
        <w:jc w:val="both"/>
        <w:rPr>
          <w:color w:val="000000" w:themeColor="text1"/>
          <w:sz w:val="22"/>
          <w:szCs w:val="22"/>
        </w:rPr>
      </w:pPr>
      <w:r w:rsidRPr="00E7470B">
        <w:rPr>
          <w:sz w:val="22"/>
          <w:szCs w:val="22"/>
        </w:rPr>
        <w:t xml:space="preserve">It is necessary to incorporate monitoring and review process into day- to- day operational and management activities in order to capture any new risks arising from changing circumstances. </w:t>
      </w:r>
      <w:r w:rsidRPr="00E7470B">
        <w:rPr>
          <w:color w:val="000000" w:themeColor="text1"/>
          <w:sz w:val="22"/>
          <w:szCs w:val="22"/>
        </w:rPr>
        <w:t>To achieve this SAHMRI employs the following practices:</w:t>
      </w:r>
    </w:p>
    <w:p w14:paraId="55871E18" w14:textId="62B953CC" w:rsidR="004E2A31" w:rsidRDefault="00E7470B" w:rsidP="00017440">
      <w:pPr>
        <w:numPr>
          <w:ilvl w:val="0"/>
          <w:numId w:val="8"/>
        </w:numPr>
        <w:overflowPunct/>
        <w:autoSpaceDE/>
        <w:autoSpaceDN/>
        <w:adjustRightInd/>
        <w:spacing w:after="200" w:line="276" w:lineRule="auto"/>
        <w:contextualSpacing/>
        <w:jc w:val="both"/>
        <w:textAlignment w:val="auto"/>
        <w:rPr>
          <w:rFonts w:eastAsia="Calibri"/>
          <w:color w:val="000000" w:themeColor="text1"/>
          <w:sz w:val="22"/>
          <w:szCs w:val="22"/>
        </w:rPr>
      </w:pPr>
      <w:r w:rsidRPr="00E7470B">
        <w:rPr>
          <w:rFonts w:eastAsia="Calibri"/>
          <w:color w:val="000000" w:themeColor="text1"/>
          <w:sz w:val="22"/>
          <w:szCs w:val="22"/>
        </w:rPr>
        <w:lastRenderedPageBreak/>
        <w:t>Risk monitoring and review takes place across the organisation on an ongoing basis</w:t>
      </w:r>
      <w:r w:rsidR="004E2A31">
        <w:rPr>
          <w:rFonts w:eastAsia="Calibri"/>
          <w:color w:val="000000" w:themeColor="text1"/>
          <w:sz w:val="22"/>
          <w:szCs w:val="22"/>
        </w:rPr>
        <w:t>. Frequency of risk monitoring:</w:t>
      </w:r>
    </w:p>
    <w:p w14:paraId="17F277BB" w14:textId="77777777" w:rsidR="004E2A31" w:rsidRPr="004E2A31" w:rsidRDefault="004E2A31" w:rsidP="004E2A31">
      <w:pPr>
        <w:pStyle w:val="ListParagraph"/>
        <w:numPr>
          <w:ilvl w:val="0"/>
          <w:numId w:val="18"/>
        </w:numPr>
        <w:jc w:val="both"/>
        <w:rPr>
          <w:rFonts w:ascii="Arial" w:hAnsi="Arial" w:cs="Arial"/>
          <w:color w:val="000000" w:themeColor="text1"/>
        </w:rPr>
      </w:pPr>
      <w:r w:rsidRPr="004E2A31">
        <w:rPr>
          <w:rFonts w:ascii="Arial" w:hAnsi="Arial" w:cs="Arial"/>
          <w:color w:val="000000" w:themeColor="text1"/>
        </w:rPr>
        <w:t>should be determined by the Responsible Manager and</w:t>
      </w:r>
    </w:p>
    <w:p w14:paraId="6BC2BDF2" w14:textId="210A7E9B" w:rsidR="004E2A31" w:rsidRPr="004E2A31" w:rsidRDefault="004E2A31" w:rsidP="004E2A31">
      <w:pPr>
        <w:pStyle w:val="ListParagraph"/>
        <w:numPr>
          <w:ilvl w:val="0"/>
          <w:numId w:val="18"/>
        </w:numPr>
        <w:jc w:val="both"/>
        <w:rPr>
          <w:rFonts w:ascii="Arial" w:hAnsi="Arial" w:cs="Arial"/>
          <w:color w:val="000000" w:themeColor="text1"/>
        </w:rPr>
      </w:pPr>
      <w:r w:rsidRPr="004E2A31">
        <w:rPr>
          <w:rFonts w:ascii="Arial" w:hAnsi="Arial" w:cs="Arial"/>
          <w:color w:val="000000" w:themeColor="text1"/>
        </w:rPr>
        <w:t xml:space="preserve">recorded in Risk Management application of the Intelex database </w:t>
      </w:r>
    </w:p>
    <w:p w14:paraId="37CA47E7" w14:textId="77777777" w:rsidR="004E2A31" w:rsidRPr="004E2A31" w:rsidRDefault="004E2A31" w:rsidP="004E2A31">
      <w:pPr>
        <w:pStyle w:val="ListParagraph"/>
        <w:numPr>
          <w:ilvl w:val="0"/>
          <w:numId w:val="18"/>
        </w:numPr>
        <w:jc w:val="both"/>
        <w:rPr>
          <w:rFonts w:ascii="Arial" w:hAnsi="Arial" w:cs="Arial"/>
          <w:color w:val="000000" w:themeColor="text1"/>
        </w:rPr>
      </w:pPr>
      <w:r w:rsidRPr="004E2A31">
        <w:rPr>
          <w:rFonts w:ascii="Arial" w:hAnsi="Arial" w:cs="Arial"/>
          <w:color w:val="000000" w:themeColor="text1"/>
        </w:rPr>
        <w:t>may vary for various “Activities, Products or Services” however,</w:t>
      </w:r>
    </w:p>
    <w:p w14:paraId="167E6379" w14:textId="21A6EF31" w:rsidR="00E7470B" w:rsidRPr="004E2A31" w:rsidRDefault="004E2A31" w:rsidP="004E2A31">
      <w:pPr>
        <w:pStyle w:val="ListParagraph"/>
        <w:numPr>
          <w:ilvl w:val="0"/>
          <w:numId w:val="18"/>
        </w:numPr>
        <w:jc w:val="both"/>
        <w:rPr>
          <w:rFonts w:ascii="Arial" w:hAnsi="Arial" w:cs="Arial"/>
          <w:color w:val="000000" w:themeColor="text1"/>
        </w:rPr>
      </w:pPr>
      <w:r w:rsidRPr="004E2A31">
        <w:rPr>
          <w:rFonts w:ascii="Arial" w:hAnsi="Arial" w:cs="Arial"/>
          <w:color w:val="000000" w:themeColor="text1"/>
        </w:rPr>
        <w:t>should be appropriate to the type of risk, control</w:t>
      </w:r>
      <w:r w:rsidR="00EB336F">
        <w:rPr>
          <w:rFonts w:ascii="Arial" w:hAnsi="Arial" w:cs="Arial"/>
          <w:color w:val="000000" w:themeColor="text1"/>
        </w:rPr>
        <w:t>s</w:t>
      </w:r>
      <w:r w:rsidRPr="004E2A31">
        <w:rPr>
          <w:rFonts w:ascii="Arial" w:hAnsi="Arial" w:cs="Arial"/>
          <w:color w:val="000000" w:themeColor="text1"/>
        </w:rPr>
        <w:t xml:space="preserve"> and treatments</w:t>
      </w:r>
      <w:r w:rsidR="004B6473">
        <w:rPr>
          <w:rFonts w:ascii="Arial" w:hAnsi="Arial" w:cs="Arial"/>
          <w:color w:val="000000" w:themeColor="text1"/>
        </w:rPr>
        <w:t xml:space="preserve"> assigned </w:t>
      </w:r>
      <w:r w:rsidRPr="004E2A31">
        <w:rPr>
          <w:rFonts w:ascii="Arial" w:hAnsi="Arial" w:cs="Arial"/>
          <w:color w:val="000000" w:themeColor="text1"/>
        </w:rPr>
        <w:t xml:space="preserve"> and residual risk rating. </w:t>
      </w:r>
    </w:p>
    <w:p w14:paraId="09BACFF5" w14:textId="32320A69" w:rsidR="00E7470B" w:rsidRPr="00E7470B" w:rsidRDefault="00E7470B" w:rsidP="00017440">
      <w:pPr>
        <w:numPr>
          <w:ilvl w:val="0"/>
          <w:numId w:val="8"/>
        </w:numPr>
        <w:overflowPunct/>
        <w:autoSpaceDE/>
        <w:autoSpaceDN/>
        <w:adjustRightInd/>
        <w:spacing w:after="200" w:line="276" w:lineRule="auto"/>
        <w:contextualSpacing/>
        <w:jc w:val="both"/>
        <w:textAlignment w:val="auto"/>
        <w:rPr>
          <w:rFonts w:eastAsia="Calibri"/>
          <w:color w:val="000000" w:themeColor="text1"/>
          <w:sz w:val="22"/>
          <w:szCs w:val="22"/>
        </w:rPr>
      </w:pPr>
      <w:r w:rsidRPr="00E7470B">
        <w:rPr>
          <w:rFonts w:eastAsia="Calibri"/>
          <w:color w:val="000000" w:themeColor="text1"/>
          <w:sz w:val="22"/>
          <w:szCs w:val="22"/>
        </w:rPr>
        <w:t xml:space="preserve">New risks and changes to risks, risk ratings, controls or treatment plans are timely communicated to the Senior Manager or Head of the Department/Section for recording in the Risk Register </w:t>
      </w:r>
    </w:p>
    <w:p w14:paraId="5EC8A9EB" w14:textId="77777777" w:rsidR="00E7470B" w:rsidRPr="00E7470B" w:rsidRDefault="00E7470B" w:rsidP="00E7470B">
      <w:pPr>
        <w:spacing w:line="276" w:lineRule="auto"/>
        <w:jc w:val="both"/>
        <w:rPr>
          <w:color w:val="000000" w:themeColor="text1"/>
        </w:rPr>
      </w:pPr>
    </w:p>
    <w:p w14:paraId="532B73E3" w14:textId="77777777" w:rsidR="00E7470B" w:rsidRPr="00E7470B" w:rsidRDefault="00E7470B" w:rsidP="00AB4F52">
      <w:pPr>
        <w:pStyle w:val="Heading1"/>
      </w:pPr>
      <w:r w:rsidRPr="00E7470B">
        <w:t>Communicate and Consult</w:t>
      </w:r>
    </w:p>
    <w:p w14:paraId="4509AB4C"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 xml:space="preserve">Communication and consultation are important elements during each step of the Risk Management process. Effective communication is essential to ensure that those responsible for implementing risk management, and those with a vested interest, understand the basis on which risk management decisions are made and why particular actions are required. </w:t>
      </w:r>
    </w:p>
    <w:p w14:paraId="1EFD68AA"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7AA5045E"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It is important that a communication approach recognises the need to promote risk management concepts across a broad spectrum of management and staff, from executive management to administrative and research staff.</w:t>
      </w:r>
    </w:p>
    <w:p w14:paraId="27A57659" w14:textId="77777777" w:rsidR="00E7470B" w:rsidRPr="00E7470B" w:rsidRDefault="00E7470B" w:rsidP="00E7470B">
      <w:pPr>
        <w:overflowPunct/>
        <w:autoSpaceDE/>
        <w:autoSpaceDN/>
        <w:adjustRightInd/>
        <w:spacing w:after="200" w:line="276" w:lineRule="auto"/>
        <w:ind w:left="-709"/>
        <w:contextualSpacing/>
        <w:textAlignment w:val="auto"/>
        <w:rPr>
          <w:rFonts w:eastAsia="Calibri"/>
          <w:color w:val="000000" w:themeColor="text1"/>
          <w:sz w:val="22"/>
          <w:szCs w:val="22"/>
        </w:rPr>
      </w:pPr>
    </w:p>
    <w:p w14:paraId="11B9F2E6" w14:textId="77777777" w:rsid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r w:rsidRPr="00E7470B">
        <w:rPr>
          <w:rFonts w:eastAsia="Calibri"/>
          <w:color w:val="000000" w:themeColor="text1"/>
          <w:sz w:val="22"/>
          <w:szCs w:val="22"/>
        </w:rPr>
        <w:t xml:space="preserve">SAHMRI seeks to achieve this by embedding the risk management processes in the regular business of the organisation and by including risk management on the agendas of existing committees and management teams. Communication is also recorded on the Intelex System through task and action notifications associated with the risk record. </w:t>
      </w:r>
    </w:p>
    <w:p w14:paraId="7429DFF9" w14:textId="77777777" w:rsidR="00E7470B" w:rsidRPr="00E7470B" w:rsidRDefault="00E7470B" w:rsidP="00E7470B">
      <w:pPr>
        <w:overflowPunct/>
        <w:autoSpaceDE/>
        <w:autoSpaceDN/>
        <w:adjustRightInd/>
        <w:spacing w:after="200" w:line="276" w:lineRule="auto"/>
        <w:ind w:left="-709"/>
        <w:contextualSpacing/>
        <w:jc w:val="both"/>
        <w:textAlignment w:val="auto"/>
        <w:rPr>
          <w:rFonts w:eastAsia="Calibri"/>
          <w:color w:val="000000" w:themeColor="text1"/>
          <w:sz w:val="22"/>
          <w:szCs w:val="22"/>
        </w:rPr>
      </w:pPr>
    </w:p>
    <w:p w14:paraId="25A82EBC" w14:textId="77777777" w:rsidR="00E7470B" w:rsidRPr="00E7470B" w:rsidRDefault="00E7470B" w:rsidP="00E7470B">
      <w:pPr>
        <w:tabs>
          <w:tab w:val="num" w:pos="11"/>
        </w:tabs>
        <w:spacing w:line="276" w:lineRule="auto"/>
        <w:rPr>
          <w:color w:val="000000" w:themeColor="text1"/>
          <w:sz w:val="20"/>
        </w:rPr>
      </w:pPr>
    </w:p>
    <w:p w14:paraId="40159938" w14:textId="77777777" w:rsidR="00E7470B" w:rsidRPr="00E7470B" w:rsidRDefault="00E7470B" w:rsidP="00AB4F52">
      <w:pPr>
        <w:pStyle w:val="Heading1"/>
      </w:pPr>
      <w:r w:rsidRPr="00E7470B">
        <w:t>Associated Documents</w:t>
      </w:r>
    </w:p>
    <w:p w14:paraId="17A3D8A8" w14:textId="53A3EFB0" w:rsidR="00E7470B" w:rsidRPr="00E7470B" w:rsidRDefault="00E7470B" w:rsidP="00AB4F52">
      <w:pPr>
        <w:pStyle w:val="Heading2"/>
        <w:numPr>
          <w:ilvl w:val="1"/>
          <w:numId w:val="17"/>
        </w:numPr>
        <w:ind w:hanging="862"/>
      </w:pPr>
      <w:r w:rsidRPr="00E7470B">
        <w:t>External</w:t>
      </w:r>
    </w:p>
    <w:p w14:paraId="03BB5A4F" w14:textId="77777777" w:rsidR="00E7470B" w:rsidRDefault="00E7470B" w:rsidP="00017440">
      <w:pPr>
        <w:numPr>
          <w:ilvl w:val="0"/>
          <w:numId w:val="9"/>
        </w:numPr>
        <w:overflowPunct/>
        <w:autoSpaceDE/>
        <w:autoSpaceDN/>
        <w:adjustRightInd/>
        <w:spacing w:after="200" w:line="276" w:lineRule="auto"/>
        <w:contextualSpacing/>
        <w:jc w:val="both"/>
        <w:textAlignment w:val="auto"/>
        <w:rPr>
          <w:rFonts w:eastAsia="Calibri"/>
          <w:color w:val="000000" w:themeColor="text1"/>
          <w:sz w:val="22"/>
          <w:szCs w:val="22"/>
        </w:rPr>
      </w:pPr>
      <w:r w:rsidRPr="00E7470B">
        <w:rPr>
          <w:rFonts w:eastAsia="Calibri"/>
          <w:color w:val="000000" w:themeColor="text1"/>
          <w:sz w:val="22"/>
          <w:szCs w:val="22"/>
        </w:rPr>
        <w:t>AS/NZS ISO 31000:2009, Risk Management, Principles and Guidelines</w:t>
      </w:r>
    </w:p>
    <w:p w14:paraId="5C17C6EC" w14:textId="77777777" w:rsidR="0038037D" w:rsidRPr="0038037D" w:rsidRDefault="0038037D" w:rsidP="00017440">
      <w:pPr>
        <w:numPr>
          <w:ilvl w:val="0"/>
          <w:numId w:val="9"/>
        </w:numPr>
        <w:overflowPunct/>
        <w:autoSpaceDE/>
        <w:autoSpaceDN/>
        <w:adjustRightInd/>
        <w:spacing w:after="200" w:line="276" w:lineRule="auto"/>
        <w:contextualSpacing/>
        <w:jc w:val="both"/>
        <w:textAlignment w:val="auto"/>
        <w:rPr>
          <w:rFonts w:eastAsia="Calibri"/>
          <w:color w:val="000000" w:themeColor="text1"/>
          <w:sz w:val="22"/>
          <w:szCs w:val="22"/>
        </w:rPr>
      </w:pPr>
      <w:r w:rsidRPr="0038037D">
        <w:rPr>
          <w:rFonts w:eastAsia="Calibri"/>
          <w:color w:val="000000" w:themeColor="text1"/>
          <w:sz w:val="22"/>
          <w:szCs w:val="22"/>
        </w:rPr>
        <w:t xml:space="preserve">ICH Harmonised Tripartite Guideline- Quality Risk Management (Q9) 2005, </w:t>
      </w:r>
    </w:p>
    <w:p w14:paraId="3AA35ED3" w14:textId="52AC6EF4" w:rsidR="0038037D" w:rsidRPr="0038037D" w:rsidRDefault="0038037D" w:rsidP="00017440">
      <w:pPr>
        <w:numPr>
          <w:ilvl w:val="0"/>
          <w:numId w:val="9"/>
        </w:numPr>
        <w:overflowPunct/>
        <w:autoSpaceDE/>
        <w:autoSpaceDN/>
        <w:adjustRightInd/>
        <w:spacing w:after="200" w:line="276" w:lineRule="auto"/>
        <w:contextualSpacing/>
        <w:jc w:val="both"/>
        <w:textAlignment w:val="auto"/>
        <w:rPr>
          <w:rFonts w:eastAsia="Calibri"/>
          <w:color w:val="000000" w:themeColor="text1"/>
          <w:sz w:val="22"/>
          <w:szCs w:val="22"/>
        </w:rPr>
      </w:pPr>
      <w:r w:rsidRPr="0038037D">
        <w:rPr>
          <w:rFonts w:eastAsia="Calibri"/>
          <w:color w:val="000000" w:themeColor="text1"/>
          <w:sz w:val="22"/>
          <w:szCs w:val="22"/>
        </w:rPr>
        <w:t>PICS Guide to the Manufacturing Practice for Medical Products, Part1</w:t>
      </w:r>
    </w:p>
    <w:p w14:paraId="3D5490F2" w14:textId="5AB4111C" w:rsidR="0038037D" w:rsidRPr="0038037D" w:rsidRDefault="0038037D" w:rsidP="00017440">
      <w:pPr>
        <w:numPr>
          <w:ilvl w:val="0"/>
          <w:numId w:val="9"/>
        </w:numPr>
        <w:overflowPunct/>
        <w:autoSpaceDE/>
        <w:autoSpaceDN/>
        <w:adjustRightInd/>
        <w:spacing w:after="200" w:line="276" w:lineRule="auto"/>
        <w:contextualSpacing/>
        <w:jc w:val="both"/>
        <w:textAlignment w:val="auto"/>
        <w:rPr>
          <w:rFonts w:eastAsia="Calibri"/>
          <w:color w:val="000000" w:themeColor="text1"/>
          <w:sz w:val="22"/>
          <w:szCs w:val="22"/>
        </w:rPr>
      </w:pPr>
      <w:r w:rsidRPr="0038037D">
        <w:rPr>
          <w:rFonts w:eastAsia="Calibri"/>
          <w:color w:val="000000" w:themeColor="text1"/>
          <w:sz w:val="22"/>
          <w:szCs w:val="22"/>
        </w:rPr>
        <w:t>OECD Principles on GLP</w:t>
      </w:r>
    </w:p>
    <w:p w14:paraId="458441CB" w14:textId="77777777" w:rsidR="00E7470B" w:rsidRPr="00E7470B" w:rsidRDefault="00E7470B" w:rsidP="00E7470B">
      <w:pPr>
        <w:overflowPunct/>
        <w:autoSpaceDE/>
        <w:autoSpaceDN/>
        <w:adjustRightInd/>
        <w:spacing w:line="276" w:lineRule="auto"/>
        <w:ind w:left="924"/>
        <w:textAlignment w:val="auto"/>
        <w:rPr>
          <w:rFonts w:eastAsia="Calibri"/>
          <w:color w:val="000000" w:themeColor="text1"/>
          <w:sz w:val="22"/>
          <w:szCs w:val="22"/>
        </w:rPr>
      </w:pPr>
    </w:p>
    <w:p w14:paraId="7DDCF251" w14:textId="53EE3D84" w:rsidR="00E7470B" w:rsidRPr="00E7470B" w:rsidRDefault="00E7470B" w:rsidP="00AB4F52">
      <w:pPr>
        <w:pStyle w:val="Heading2"/>
        <w:numPr>
          <w:ilvl w:val="1"/>
          <w:numId w:val="17"/>
        </w:numPr>
        <w:ind w:left="567" w:hanging="851"/>
      </w:pPr>
      <w:r w:rsidRPr="00E7470B">
        <w:t>Internal</w:t>
      </w:r>
    </w:p>
    <w:p w14:paraId="20490B02" w14:textId="77777777" w:rsidR="00E7470B" w:rsidRPr="00E7470B" w:rsidRDefault="00E7470B" w:rsidP="00017440">
      <w:pPr>
        <w:numPr>
          <w:ilvl w:val="0"/>
          <w:numId w:val="9"/>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PRO 0012, QA Program for SAHMRI</w:t>
      </w:r>
    </w:p>
    <w:p w14:paraId="2D380FB0" w14:textId="77777777" w:rsidR="00E7470B" w:rsidRPr="00E7470B" w:rsidRDefault="00E7470B" w:rsidP="00017440">
      <w:pPr>
        <w:numPr>
          <w:ilvl w:val="0"/>
          <w:numId w:val="9"/>
        </w:numPr>
        <w:overflowPunct/>
        <w:autoSpaceDE/>
        <w:autoSpaceDN/>
        <w:adjustRightInd/>
        <w:spacing w:after="200" w:line="276" w:lineRule="auto"/>
        <w:contextualSpacing/>
        <w:textAlignment w:val="auto"/>
        <w:rPr>
          <w:rFonts w:eastAsia="Calibri"/>
          <w:color w:val="000000" w:themeColor="text1"/>
          <w:sz w:val="22"/>
          <w:szCs w:val="22"/>
        </w:rPr>
      </w:pPr>
      <w:r w:rsidRPr="00E7470B">
        <w:rPr>
          <w:rFonts w:eastAsia="Calibri"/>
          <w:color w:val="000000" w:themeColor="text1"/>
          <w:sz w:val="22"/>
          <w:szCs w:val="22"/>
        </w:rPr>
        <w:t>PRO 0113, Internal Audits</w:t>
      </w:r>
    </w:p>
    <w:p w14:paraId="5ABEA31C" w14:textId="77777777" w:rsidR="00E7470B" w:rsidRPr="00E7470B" w:rsidRDefault="00E7470B" w:rsidP="00E7470B">
      <w:pPr>
        <w:spacing w:line="240" w:lineRule="auto"/>
        <w:rPr>
          <w:color w:val="000000" w:themeColor="text1"/>
          <w:sz w:val="20"/>
        </w:rPr>
      </w:pPr>
    </w:p>
    <w:p w14:paraId="5E8450A5" w14:textId="724331B1" w:rsidR="00E7470B" w:rsidRPr="00E7470B" w:rsidRDefault="00E7470B" w:rsidP="00AB4F52">
      <w:pPr>
        <w:pStyle w:val="Heading2"/>
        <w:numPr>
          <w:ilvl w:val="1"/>
          <w:numId w:val="17"/>
        </w:numPr>
        <w:ind w:hanging="862"/>
      </w:pPr>
      <w:r w:rsidRPr="00E7470B">
        <w:t>Appendices</w:t>
      </w:r>
    </w:p>
    <w:p w14:paraId="1516C43A" w14:textId="77777777" w:rsidR="00E7470B" w:rsidRPr="00E7470B" w:rsidRDefault="00E7470B" w:rsidP="00017440">
      <w:pPr>
        <w:numPr>
          <w:ilvl w:val="0"/>
          <w:numId w:val="2"/>
        </w:numPr>
        <w:overflowPunct/>
        <w:autoSpaceDE/>
        <w:autoSpaceDN/>
        <w:adjustRightInd/>
        <w:spacing w:after="200" w:line="240" w:lineRule="auto"/>
        <w:ind w:left="567"/>
        <w:contextualSpacing/>
        <w:textAlignment w:val="auto"/>
        <w:rPr>
          <w:rFonts w:eastAsia="Calibri"/>
          <w:color w:val="000000" w:themeColor="text1"/>
          <w:sz w:val="22"/>
          <w:szCs w:val="22"/>
        </w:rPr>
      </w:pPr>
      <w:r w:rsidRPr="00E7470B">
        <w:rPr>
          <w:rFonts w:eastAsia="Calibri"/>
          <w:color w:val="000000" w:themeColor="text1"/>
          <w:sz w:val="22"/>
          <w:szCs w:val="22"/>
        </w:rPr>
        <w:t>Appendix 1. Risk Rating Metrics</w:t>
      </w:r>
    </w:p>
    <w:p w14:paraId="5190B3B1" w14:textId="77777777" w:rsidR="00DC04C6" w:rsidRDefault="00DC04C6" w:rsidP="00837BB0">
      <w:pPr>
        <w:tabs>
          <w:tab w:val="left" w:pos="720"/>
        </w:tabs>
        <w:spacing w:line="240" w:lineRule="auto"/>
        <w:ind w:right="-737"/>
        <w:rPr>
          <w:sz w:val="20"/>
          <w:lang w:val="en-US"/>
        </w:rPr>
      </w:pPr>
    </w:p>
    <w:p w14:paraId="374A67BD" w14:textId="77777777" w:rsidR="00DC04C6" w:rsidRDefault="00DC04C6" w:rsidP="00215C5E">
      <w:pPr>
        <w:tabs>
          <w:tab w:val="left" w:pos="720"/>
        </w:tabs>
        <w:spacing w:line="240" w:lineRule="auto"/>
        <w:ind w:left="-851" w:right="-737"/>
        <w:rPr>
          <w:sz w:val="20"/>
          <w:lang w:val="en-US"/>
        </w:rPr>
      </w:pPr>
    </w:p>
    <w:p w14:paraId="3C7AA0B7" w14:textId="77777777" w:rsidR="00DC04C6" w:rsidRDefault="00DC04C6" w:rsidP="00DC04C6">
      <w:pPr>
        <w:tabs>
          <w:tab w:val="left" w:pos="720"/>
        </w:tabs>
        <w:spacing w:line="240" w:lineRule="auto"/>
        <w:ind w:right="-737"/>
        <w:rPr>
          <w:sz w:val="20"/>
          <w:lang w:val="en-US"/>
        </w:rPr>
        <w:sectPr w:rsidR="00DC04C6" w:rsidSect="00B97883">
          <w:headerReference w:type="default" r:id="rId8"/>
          <w:footerReference w:type="default" r:id="rId9"/>
          <w:pgSz w:w="11900" w:h="16840"/>
          <w:pgMar w:top="1985" w:right="1270" w:bottom="1276" w:left="1843" w:header="703" w:footer="471" w:gutter="0"/>
          <w:cols w:space="708"/>
          <w:docGrid w:linePitch="326"/>
        </w:sectPr>
      </w:pPr>
    </w:p>
    <w:p w14:paraId="47746B44" w14:textId="77777777" w:rsidR="00E7470B" w:rsidRPr="002B3A00" w:rsidRDefault="00E7470B" w:rsidP="00E7470B">
      <w:pPr>
        <w:overflowPunct/>
        <w:autoSpaceDE/>
        <w:autoSpaceDN/>
        <w:adjustRightInd/>
        <w:spacing w:after="200" w:line="240" w:lineRule="auto"/>
        <w:ind w:left="-851"/>
        <w:textAlignment w:val="auto"/>
        <w:rPr>
          <w:b/>
          <w:sz w:val="22"/>
          <w:szCs w:val="22"/>
          <w:lang w:val="en-US"/>
        </w:rPr>
      </w:pPr>
      <w:r w:rsidRPr="002B3A00">
        <w:rPr>
          <w:b/>
          <w:sz w:val="22"/>
          <w:szCs w:val="22"/>
          <w:lang w:val="en-US"/>
        </w:rPr>
        <w:lastRenderedPageBreak/>
        <w:t>Appendix 1. SAHMRI Risk Rating Metrics</w:t>
      </w:r>
    </w:p>
    <w:p w14:paraId="5843E0ED" w14:textId="77777777" w:rsidR="00E7470B" w:rsidRPr="002B3A00" w:rsidRDefault="00E7470B" w:rsidP="00E7470B">
      <w:pPr>
        <w:tabs>
          <w:tab w:val="left" w:pos="720"/>
        </w:tabs>
        <w:spacing w:line="276" w:lineRule="auto"/>
        <w:ind w:left="-851" w:right="-737"/>
        <w:rPr>
          <w:rFonts w:eastAsiaTheme="minorHAnsi"/>
          <w:b/>
          <w:bCs/>
          <w:sz w:val="22"/>
          <w:szCs w:val="22"/>
        </w:rPr>
      </w:pPr>
      <w:r w:rsidRPr="002B3A00">
        <w:rPr>
          <w:rFonts w:eastAsiaTheme="minorHAnsi"/>
          <w:b/>
          <w:bCs/>
          <w:sz w:val="22"/>
          <w:szCs w:val="22"/>
        </w:rPr>
        <w:t>Risk categories</w:t>
      </w:r>
    </w:p>
    <w:tbl>
      <w:tblPr>
        <w:tblStyle w:val="TableGrid"/>
        <w:tblW w:w="10488" w:type="dxa"/>
        <w:tblInd w:w="-851" w:type="dxa"/>
        <w:tblLook w:val="04A0" w:firstRow="1" w:lastRow="0" w:firstColumn="1" w:lastColumn="0" w:noHBand="0" w:noVBand="1"/>
      </w:tblPr>
      <w:tblGrid>
        <w:gridCol w:w="1940"/>
        <w:gridCol w:w="8548"/>
      </w:tblGrid>
      <w:tr w:rsidR="00E7470B" w14:paraId="243E5C00" w14:textId="77777777" w:rsidTr="00F6165B">
        <w:trPr>
          <w:trHeight w:val="327"/>
        </w:trPr>
        <w:tc>
          <w:tcPr>
            <w:tcW w:w="1940" w:type="dxa"/>
            <w:shd w:val="clear" w:color="auto" w:fill="D9D9D9" w:themeFill="background1" w:themeFillShade="D9"/>
          </w:tcPr>
          <w:p w14:paraId="3F18BA0A" w14:textId="77777777" w:rsidR="00E7470B" w:rsidRPr="00390F31" w:rsidRDefault="00E7470B" w:rsidP="00553D67">
            <w:pPr>
              <w:tabs>
                <w:tab w:val="left" w:pos="720"/>
              </w:tabs>
              <w:spacing w:before="120" w:after="120" w:line="240" w:lineRule="auto"/>
              <w:ind w:right="-737"/>
              <w:rPr>
                <w:b/>
                <w:sz w:val="20"/>
                <w:lang w:val="en-US"/>
              </w:rPr>
            </w:pPr>
            <w:r w:rsidRPr="00390F31">
              <w:rPr>
                <w:b/>
                <w:sz w:val="20"/>
                <w:lang w:val="en-US"/>
              </w:rPr>
              <w:t>Category</w:t>
            </w:r>
          </w:p>
        </w:tc>
        <w:tc>
          <w:tcPr>
            <w:tcW w:w="8548" w:type="dxa"/>
            <w:shd w:val="clear" w:color="auto" w:fill="D9D9D9" w:themeFill="background1" w:themeFillShade="D9"/>
          </w:tcPr>
          <w:p w14:paraId="32A5F896" w14:textId="77777777" w:rsidR="00E7470B" w:rsidRPr="00390F31" w:rsidRDefault="00E7470B" w:rsidP="00553D67">
            <w:pPr>
              <w:tabs>
                <w:tab w:val="left" w:pos="720"/>
              </w:tabs>
              <w:spacing w:before="120" w:after="120" w:line="240" w:lineRule="auto"/>
              <w:ind w:right="-737"/>
              <w:rPr>
                <w:b/>
                <w:sz w:val="20"/>
                <w:lang w:val="en-US"/>
              </w:rPr>
            </w:pPr>
            <w:r w:rsidRPr="00390F31">
              <w:rPr>
                <w:b/>
                <w:sz w:val="20"/>
                <w:lang w:val="en-US"/>
              </w:rPr>
              <w:t>Description</w:t>
            </w:r>
          </w:p>
        </w:tc>
      </w:tr>
      <w:tr w:rsidR="00E7470B" w:rsidRPr="00390F31" w14:paraId="471A750F" w14:textId="77777777" w:rsidTr="00F6165B">
        <w:trPr>
          <w:trHeight w:val="372"/>
        </w:trPr>
        <w:tc>
          <w:tcPr>
            <w:tcW w:w="1940" w:type="dxa"/>
          </w:tcPr>
          <w:p w14:paraId="075C26BF" w14:textId="77777777" w:rsidR="00E7470B" w:rsidRPr="00390F31" w:rsidRDefault="00E7470B" w:rsidP="00553D67">
            <w:pPr>
              <w:tabs>
                <w:tab w:val="left" w:pos="720"/>
              </w:tabs>
              <w:spacing w:before="120" w:after="120" w:line="240" w:lineRule="auto"/>
              <w:ind w:right="-737"/>
              <w:rPr>
                <w:sz w:val="20"/>
                <w:lang w:val="en-US"/>
              </w:rPr>
            </w:pPr>
            <w:r w:rsidRPr="00390F31">
              <w:rPr>
                <w:sz w:val="20"/>
                <w:lang w:val="en-US"/>
              </w:rPr>
              <w:t>Strategic</w:t>
            </w:r>
          </w:p>
        </w:tc>
        <w:tc>
          <w:tcPr>
            <w:tcW w:w="8548" w:type="dxa"/>
          </w:tcPr>
          <w:p w14:paraId="5E4CB562" w14:textId="77777777" w:rsidR="00F6165B" w:rsidRDefault="00E7470B" w:rsidP="00553D67">
            <w:pPr>
              <w:tabs>
                <w:tab w:val="left" w:pos="720"/>
              </w:tabs>
              <w:spacing w:before="120" w:after="120" w:line="240" w:lineRule="auto"/>
              <w:ind w:right="-737"/>
              <w:rPr>
                <w:rFonts w:eastAsiaTheme="minorHAnsi"/>
                <w:sz w:val="20"/>
              </w:rPr>
            </w:pPr>
            <w:r w:rsidRPr="00390F31">
              <w:rPr>
                <w:rFonts w:eastAsiaTheme="minorHAnsi"/>
                <w:sz w:val="20"/>
              </w:rPr>
              <w:t xml:space="preserve">Risks that could have a significant effect on the ability of the organisation to meet one or </w:t>
            </w:r>
          </w:p>
          <w:p w14:paraId="75473072" w14:textId="3FD74D70" w:rsidR="00E7470B" w:rsidRPr="00390F31" w:rsidRDefault="00E7470B" w:rsidP="00553D67">
            <w:pPr>
              <w:tabs>
                <w:tab w:val="left" w:pos="720"/>
              </w:tabs>
              <w:spacing w:before="120" w:after="120" w:line="240" w:lineRule="auto"/>
              <w:ind w:right="-737"/>
              <w:rPr>
                <w:sz w:val="20"/>
                <w:lang w:val="en-US"/>
              </w:rPr>
            </w:pPr>
            <w:r w:rsidRPr="00390F31">
              <w:rPr>
                <w:rFonts w:eastAsiaTheme="minorHAnsi"/>
                <w:sz w:val="20"/>
              </w:rPr>
              <w:t>more of its strategic goals</w:t>
            </w:r>
          </w:p>
        </w:tc>
      </w:tr>
      <w:tr w:rsidR="00E7470B" w:rsidRPr="00390F31" w14:paraId="4CF3186D" w14:textId="77777777" w:rsidTr="00F6165B">
        <w:trPr>
          <w:trHeight w:val="411"/>
        </w:trPr>
        <w:tc>
          <w:tcPr>
            <w:tcW w:w="1940" w:type="dxa"/>
          </w:tcPr>
          <w:p w14:paraId="793CAA8B" w14:textId="77777777" w:rsidR="00E7470B" w:rsidRPr="00390F31" w:rsidRDefault="00E7470B" w:rsidP="00553D67">
            <w:pPr>
              <w:tabs>
                <w:tab w:val="left" w:pos="720"/>
              </w:tabs>
              <w:spacing w:before="120" w:after="120" w:line="240" w:lineRule="auto"/>
              <w:ind w:right="-737"/>
              <w:rPr>
                <w:sz w:val="20"/>
                <w:lang w:val="en-US"/>
              </w:rPr>
            </w:pPr>
            <w:r w:rsidRPr="00390F31">
              <w:rPr>
                <w:sz w:val="20"/>
                <w:lang w:val="en-US"/>
              </w:rPr>
              <w:t>Financial</w:t>
            </w:r>
          </w:p>
        </w:tc>
        <w:tc>
          <w:tcPr>
            <w:tcW w:w="8548" w:type="dxa"/>
          </w:tcPr>
          <w:p w14:paraId="27679CB2" w14:textId="77777777" w:rsidR="00E7470B" w:rsidRPr="00390F31" w:rsidRDefault="00E7470B" w:rsidP="00553D67">
            <w:pPr>
              <w:overflowPunct/>
              <w:spacing w:before="120" w:after="120" w:line="240" w:lineRule="auto"/>
              <w:textAlignment w:val="auto"/>
              <w:rPr>
                <w:rFonts w:eastAsiaTheme="minorHAnsi"/>
                <w:sz w:val="20"/>
              </w:rPr>
            </w:pPr>
            <w:r w:rsidRPr="00390F31">
              <w:rPr>
                <w:rFonts w:eastAsiaTheme="minorHAnsi"/>
                <w:sz w:val="20"/>
              </w:rPr>
              <w:t>Risks that cash flows and funding are not managed cost-effectively to maximise availability of cash and funds and reduce uncertainty of funding, interest rate, credit and other financial risks</w:t>
            </w:r>
          </w:p>
        </w:tc>
      </w:tr>
      <w:tr w:rsidR="00E7470B" w:rsidRPr="00390F31" w14:paraId="722DAC9A" w14:textId="77777777" w:rsidTr="00F6165B">
        <w:trPr>
          <w:trHeight w:val="415"/>
        </w:trPr>
        <w:tc>
          <w:tcPr>
            <w:tcW w:w="1940" w:type="dxa"/>
          </w:tcPr>
          <w:p w14:paraId="24FCFD8B" w14:textId="776F4FF2" w:rsidR="00E7470B" w:rsidRPr="00390F31" w:rsidRDefault="00F6165B" w:rsidP="00553D67">
            <w:pPr>
              <w:tabs>
                <w:tab w:val="left" w:pos="720"/>
              </w:tabs>
              <w:spacing w:before="120" w:after="120" w:line="240" w:lineRule="auto"/>
              <w:ind w:right="-737"/>
              <w:rPr>
                <w:sz w:val="20"/>
                <w:lang w:val="en-US"/>
              </w:rPr>
            </w:pPr>
            <w:r>
              <w:rPr>
                <w:sz w:val="20"/>
                <w:lang w:val="en-US"/>
              </w:rPr>
              <w:t>Operational</w:t>
            </w:r>
          </w:p>
        </w:tc>
        <w:tc>
          <w:tcPr>
            <w:tcW w:w="8548" w:type="dxa"/>
          </w:tcPr>
          <w:p w14:paraId="41C29D8D" w14:textId="77777777" w:rsidR="00F6165B" w:rsidRDefault="00E7470B" w:rsidP="00553D67">
            <w:pPr>
              <w:tabs>
                <w:tab w:val="left" w:pos="720"/>
              </w:tabs>
              <w:spacing w:before="120" w:after="120" w:line="240" w:lineRule="auto"/>
              <w:ind w:right="-737"/>
              <w:rPr>
                <w:rFonts w:eastAsiaTheme="minorHAnsi"/>
                <w:sz w:val="20"/>
              </w:rPr>
            </w:pPr>
            <w:r w:rsidRPr="00390F31">
              <w:rPr>
                <w:rFonts w:eastAsiaTheme="minorHAnsi"/>
                <w:sz w:val="20"/>
              </w:rPr>
              <w:t xml:space="preserve">Non-compliance with or inability to adapt to changes in the regulatory environment, </w:t>
            </w:r>
          </w:p>
          <w:p w14:paraId="18977F36" w14:textId="6222F839" w:rsidR="00E7470B" w:rsidRDefault="00E7470B" w:rsidP="00553D67">
            <w:pPr>
              <w:tabs>
                <w:tab w:val="left" w:pos="720"/>
              </w:tabs>
              <w:spacing w:before="120" w:after="120" w:line="240" w:lineRule="auto"/>
              <w:ind w:right="-737"/>
              <w:rPr>
                <w:rFonts w:eastAsiaTheme="minorHAnsi"/>
                <w:sz w:val="20"/>
              </w:rPr>
            </w:pPr>
            <w:r w:rsidRPr="00390F31">
              <w:rPr>
                <w:rFonts w:eastAsiaTheme="minorHAnsi"/>
                <w:sz w:val="20"/>
              </w:rPr>
              <w:t xml:space="preserve">exposing the organisation to fines, penalties, </w:t>
            </w:r>
          </w:p>
          <w:p w14:paraId="06F7F990" w14:textId="77777777" w:rsidR="00E7470B" w:rsidRPr="00390F31" w:rsidRDefault="00E7470B" w:rsidP="00553D67">
            <w:pPr>
              <w:tabs>
                <w:tab w:val="left" w:pos="720"/>
              </w:tabs>
              <w:spacing w:before="120" w:after="120" w:line="240" w:lineRule="auto"/>
              <w:ind w:right="-737"/>
              <w:rPr>
                <w:sz w:val="20"/>
                <w:lang w:val="en-US"/>
              </w:rPr>
            </w:pPr>
            <w:r w:rsidRPr="00390F31">
              <w:rPr>
                <w:rFonts w:eastAsiaTheme="minorHAnsi"/>
                <w:sz w:val="20"/>
              </w:rPr>
              <w:t>potential loss of reputation or litigation</w:t>
            </w:r>
          </w:p>
        </w:tc>
      </w:tr>
      <w:tr w:rsidR="00E7470B" w:rsidRPr="00390F31" w14:paraId="71B7D1B0" w14:textId="77777777" w:rsidTr="00F6165B">
        <w:trPr>
          <w:trHeight w:val="393"/>
        </w:trPr>
        <w:tc>
          <w:tcPr>
            <w:tcW w:w="1940" w:type="dxa"/>
          </w:tcPr>
          <w:p w14:paraId="5D437EFD" w14:textId="375A134B" w:rsidR="00E7470B" w:rsidRPr="00390F31" w:rsidRDefault="00F6165B" w:rsidP="00553D67">
            <w:pPr>
              <w:tabs>
                <w:tab w:val="left" w:pos="720"/>
              </w:tabs>
              <w:spacing w:before="120" w:after="120" w:line="240" w:lineRule="auto"/>
              <w:ind w:right="-737"/>
              <w:rPr>
                <w:sz w:val="20"/>
                <w:lang w:val="en-US"/>
              </w:rPr>
            </w:pPr>
            <w:r>
              <w:rPr>
                <w:sz w:val="20"/>
                <w:lang w:val="en-US"/>
              </w:rPr>
              <w:t>Research</w:t>
            </w:r>
          </w:p>
        </w:tc>
        <w:tc>
          <w:tcPr>
            <w:tcW w:w="8548" w:type="dxa"/>
          </w:tcPr>
          <w:p w14:paraId="56F80ECF" w14:textId="77777777" w:rsidR="00F6165B" w:rsidRDefault="00E7470B" w:rsidP="00553D67">
            <w:pPr>
              <w:tabs>
                <w:tab w:val="left" w:pos="720"/>
              </w:tabs>
              <w:spacing w:before="120" w:after="120" w:line="240" w:lineRule="auto"/>
              <w:ind w:right="-737"/>
              <w:rPr>
                <w:rFonts w:eastAsiaTheme="minorHAnsi"/>
                <w:sz w:val="20"/>
              </w:rPr>
            </w:pPr>
            <w:r w:rsidRPr="00390F31">
              <w:rPr>
                <w:rFonts w:eastAsiaTheme="minorHAnsi"/>
                <w:sz w:val="20"/>
              </w:rPr>
              <w:t xml:space="preserve">Risk that the organisation’s management processes and infrastructure is ineffective or </w:t>
            </w:r>
          </w:p>
          <w:p w14:paraId="16AFCF7E" w14:textId="5AD24B10" w:rsidR="00E7470B" w:rsidRPr="00F6165B" w:rsidRDefault="00E7470B" w:rsidP="00553D67">
            <w:pPr>
              <w:tabs>
                <w:tab w:val="left" w:pos="720"/>
              </w:tabs>
              <w:spacing w:before="120" w:after="120" w:line="240" w:lineRule="auto"/>
              <w:ind w:right="-737"/>
              <w:rPr>
                <w:rFonts w:eastAsiaTheme="minorHAnsi"/>
                <w:sz w:val="20"/>
              </w:rPr>
            </w:pPr>
            <w:r w:rsidRPr="00390F31">
              <w:rPr>
                <w:rFonts w:eastAsiaTheme="minorHAnsi"/>
                <w:sz w:val="20"/>
              </w:rPr>
              <w:t>inefficient in enabling the organisation to deliver its research objectives</w:t>
            </w:r>
          </w:p>
        </w:tc>
      </w:tr>
    </w:tbl>
    <w:p w14:paraId="33F44C21" w14:textId="77777777" w:rsidR="00E7470B" w:rsidRDefault="00E7470B" w:rsidP="00E7470B">
      <w:pPr>
        <w:tabs>
          <w:tab w:val="left" w:pos="720"/>
        </w:tabs>
        <w:spacing w:line="240" w:lineRule="auto"/>
        <w:ind w:right="-737"/>
        <w:rPr>
          <w:sz w:val="20"/>
          <w:lang w:val="en-US"/>
        </w:rPr>
      </w:pPr>
    </w:p>
    <w:p w14:paraId="3E196189" w14:textId="77777777" w:rsidR="00E7470B" w:rsidRPr="002B3A00" w:rsidRDefault="00E7470B" w:rsidP="00E7470B">
      <w:pPr>
        <w:tabs>
          <w:tab w:val="left" w:pos="720"/>
        </w:tabs>
        <w:spacing w:before="120" w:after="120" w:line="240" w:lineRule="auto"/>
        <w:ind w:left="-851" w:right="-737"/>
        <w:rPr>
          <w:b/>
          <w:sz w:val="22"/>
          <w:szCs w:val="22"/>
          <w:lang w:val="en-US"/>
        </w:rPr>
      </w:pPr>
      <w:r w:rsidRPr="002B3A00">
        <w:rPr>
          <w:b/>
          <w:sz w:val="22"/>
          <w:szCs w:val="22"/>
          <w:lang w:val="en-US"/>
        </w:rPr>
        <w:t>Risk Rating Criteria: Likelihood for SAHMRI</w:t>
      </w:r>
    </w:p>
    <w:tbl>
      <w:tblPr>
        <w:tblStyle w:val="TableGrid"/>
        <w:tblW w:w="0" w:type="auto"/>
        <w:tblInd w:w="-851" w:type="dxa"/>
        <w:tblLook w:val="04A0" w:firstRow="1" w:lastRow="0" w:firstColumn="1" w:lastColumn="0" w:noHBand="0" w:noVBand="1"/>
      </w:tblPr>
      <w:tblGrid>
        <w:gridCol w:w="2831"/>
        <w:gridCol w:w="5245"/>
      </w:tblGrid>
      <w:tr w:rsidR="00E7470B" w14:paraId="547B91C8" w14:textId="77777777" w:rsidTr="00553D67">
        <w:trPr>
          <w:trHeight w:val="381"/>
        </w:trPr>
        <w:tc>
          <w:tcPr>
            <w:tcW w:w="2831" w:type="dxa"/>
            <w:shd w:val="clear" w:color="auto" w:fill="D9D9D9" w:themeFill="background1" w:themeFillShade="D9"/>
          </w:tcPr>
          <w:p w14:paraId="6EBF8C8C" w14:textId="77777777" w:rsidR="00E7470B" w:rsidRPr="00390F31" w:rsidRDefault="00E7470B" w:rsidP="00553D67">
            <w:pPr>
              <w:tabs>
                <w:tab w:val="left" w:pos="720"/>
              </w:tabs>
              <w:spacing w:before="120" w:after="120" w:line="240" w:lineRule="auto"/>
              <w:ind w:right="-737"/>
              <w:rPr>
                <w:b/>
                <w:sz w:val="20"/>
                <w:lang w:val="en-US"/>
              </w:rPr>
            </w:pPr>
            <w:r w:rsidRPr="00390F31">
              <w:rPr>
                <w:b/>
                <w:sz w:val="20"/>
                <w:lang w:val="en-US"/>
              </w:rPr>
              <w:t>Rating</w:t>
            </w:r>
          </w:p>
        </w:tc>
        <w:tc>
          <w:tcPr>
            <w:tcW w:w="5245" w:type="dxa"/>
            <w:shd w:val="clear" w:color="auto" w:fill="D9D9D9" w:themeFill="background1" w:themeFillShade="D9"/>
          </w:tcPr>
          <w:p w14:paraId="457FD783" w14:textId="77777777" w:rsidR="00E7470B" w:rsidRPr="00390F31" w:rsidRDefault="00E7470B" w:rsidP="00553D67">
            <w:pPr>
              <w:tabs>
                <w:tab w:val="left" w:pos="720"/>
              </w:tabs>
              <w:spacing w:before="120" w:after="120" w:line="240" w:lineRule="auto"/>
              <w:ind w:right="-737"/>
              <w:rPr>
                <w:b/>
                <w:sz w:val="20"/>
                <w:lang w:val="en-US"/>
              </w:rPr>
            </w:pPr>
            <w:r w:rsidRPr="00390F31">
              <w:rPr>
                <w:b/>
                <w:sz w:val="20"/>
                <w:lang w:val="en-US"/>
              </w:rPr>
              <w:t>Description</w:t>
            </w:r>
          </w:p>
        </w:tc>
      </w:tr>
      <w:tr w:rsidR="00E7470B" w14:paraId="624BAF2D" w14:textId="77777777" w:rsidTr="00553D67">
        <w:trPr>
          <w:trHeight w:val="415"/>
        </w:trPr>
        <w:tc>
          <w:tcPr>
            <w:tcW w:w="2831" w:type="dxa"/>
            <w:shd w:val="clear" w:color="auto" w:fill="FF0000"/>
          </w:tcPr>
          <w:p w14:paraId="239493A7" w14:textId="77777777" w:rsidR="00E7470B" w:rsidRPr="002B3A00" w:rsidRDefault="00E7470B" w:rsidP="00553D67">
            <w:pPr>
              <w:tabs>
                <w:tab w:val="left" w:pos="720"/>
              </w:tabs>
              <w:spacing w:before="120" w:after="120" w:line="240" w:lineRule="auto"/>
              <w:ind w:right="-737"/>
              <w:rPr>
                <w:sz w:val="20"/>
                <w:lang w:val="en-US"/>
              </w:rPr>
            </w:pPr>
            <w:r w:rsidRPr="002B3A00">
              <w:rPr>
                <w:sz w:val="20"/>
                <w:lang w:val="en-US"/>
              </w:rPr>
              <w:t>Certain</w:t>
            </w:r>
          </w:p>
        </w:tc>
        <w:tc>
          <w:tcPr>
            <w:tcW w:w="5245" w:type="dxa"/>
          </w:tcPr>
          <w:p w14:paraId="15F13A06" w14:textId="77777777" w:rsidR="00E7470B" w:rsidRPr="002B3A00" w:rsidRDefault="00E7470B" w:rsidP="00553D67">
            <w:pPr>
              <w:tabs>
                <w:tab w:val="left" w:pos="720"/>
              </w:tabs>
              <w:spacing w:before="120" w:after="120" w:line="240" w:lineRule="auto"/>
              <w:ind w:right="-737"/>
              <w:rPr>
                <w:sz w:val="20"/>
                <w:lang w:val="en-US"/>
              </w:rPr>
            </w:pPr>
            <w:r w:rsidRPr="002B3A00">
              <w:rPr>
                <w:rFonts w:eastAsiaTheme="minorHAnsi"/>
                <w:sz w:val="20"/>
              </w:rPr>
              <w:t>The event will occur within the next 3 years</w:t>
            </w:r>
          </w:p>
        </w:tc>
      </w:tr>
      <w:tr w:rsidR="00E7470B" w14:paraId="563D8F69" w14:textId="77777777" w:rsidTr="00553D67">
        <w:trPr>
          <w:trHeight w:val="421"/>
        </w:trPr>
        <w:tc>
          <w:tcPr>
            <w:tcW w:w="2831" w:type="dxa"/>
            <w:shd w:val="clear" w:color="auto" w:fill="FFC000"/>
          </w:tcPr>
          <w:p w14:paraId="0C8C37A1" w14:textId="77777777" w:rsidR="00E7470B" w:rsidRPr="002B3A00" w:rsidRDefault="00E7470B" w:rsidP="00553D67">
            <w:pPr>
              <w:tabs>
                <w:tab w:val="left" w:pos="720"/>
              </w:tabs>
              <w:spacing w:before="120" w:after="120" w:line="240" w:lineRule="auto"/>
              <w:ind w:right="-737"/>
              <w:rPr>
                <w:sz w:val="20"/>
                <w:lang w:val="en-US"/>
              </w:rPr>
            </w:pPr>
            <w:r w:rsidRPr="002B3A00">
              <w:rPr>
                <w:sz w:val="20"/>
                <w:lang w:val="en-US"/>
              </w:rPr>
              <w:t>Probable</w:t>
            </w:r>
          </w:p>
        </w:tc>
        <w:tc>
          <w:tcPr>
            <w:tcW w:w="5245" w:type="dxa"/>
          </w:tcPr>
          <w:p w14:paraId="7A3ECCA3" w14:textId="77777777" w:rsidR="00E7470B" w:rsidRPr="002B3A00" w:rsidRDefault="00E7470B" w:rsidP="00553D67">
            <w:pPr>
              <w:tabs>
                <w:tab w:val="left" w:pos="720"/>
              </w:tabs>
              <w:spacing w:before="120" w:after="120" w:line="240" w:lineRule="auto"/>
              <w:ind w:right="-737"/>
              <w:rPr>
                <w:sz w:val="20"/>
                <w:lang w:val="en-US"/>
              </w:rPr>
            </w:pPr>
            <w:r w:rsidRPr="002B3A00">
              <w:rPr>
                <w:rFonts w:eastAsiaTheme="minorHAnsi"/>
                <w:sz w:val="20"/>
              </w:rPr>
              <w:t>The event is likely to occur within the next 3 years</w:t>
            </w:r>
          </w:p>
        </w:tc>
      </w:tr>
      <w:tr w:rsidR="00E7470B" w14:paraId="560CFCCD" w14:textId="77777777" w:rsidTr="00553D67">
        <w:trPr>
          <w:trHeight w:val="411"/>
        </w:trPr>
        <w:tc>
          <w:tcPr>
            <w:tcW w:w="2831" w:type="dxa"/>
            <w:shd w:val="clear" w:color="auto" w:fill="FFFF00"/>
          </w:tcPr>
          <w:p w14:paraId="12B39546" w14:textId="77777777" w:rsidR="00E7470B" w:rsidRPr="002B3A00" w:rsidRDefault="00E7470B" w:rsidP="00553D67">
            <w:pPr>
              <w:tabs>
                <w:tab w:val="left" w:pos="720"/>
              </w:tabs>
              <w:spacing w:before="120" w:after="120" w:line="240" w:lineRule="auto"/>
              <w:ind w:right="-737"/>
              <w:rPr>
                <w:sz w:val="20"/>
                <w:lang w:val="en-US"/>
              </w:rPr>
            </w:pPr>
            <w:r w:rsidRPr="002B3A00">
              <w:rPr>
                <w:sz w:val="20"/>
                <w:lang w:val="en-US"/>
              </w:rPr>
              <w:t>Possible</w:t>
            </w:r>
          </w:p>
        </w:tc>
        <w:tc>
          <w:tcPr>
            <w:tcW w:w="5245" w:type="dxa"/>
          </w:tcPr>
          <w:p w14:paraId="0E726803" w14:textId="77777777" w:rsidR="00E7470B" w:rsidRPr="002B3A00" w:rsidRDefault="00E7470B" w:rsidP="00553D67">
            <w:pPr>
              <w:tabs>
                <w:tab w:val="left" w:pos="720"/>
              </w:tabs>
              <w:spacing w:before="120" w:after="120" w:line="240" w:lineRule="auto"/>
              <w:ind w:right="-737"/>
              <w:rPr>
                <w:sz w:val="20"/>
                <w:lang w:val="en-US"/>
              </w:rPr>
            </w:pPr>
            <w:r w:rsidRPr="002B3A00">
              <w:rPr>
                <w:rFonts w:eastAsiaTheme="minorHAnsi"/>
                <w:sz w:val="20"/>
              </w:rPr>
              <w:t>The event may occur within the next 3 years</w:t>
            </w:r>
          </w:p>
        </w:tc>
      </w:tr>
      <w:tr w:rsidR="00E7470B" w14:paraId="7EF5B2F4" w14:textId="77777777" w:rsidTr="00553D67">
        <w:trPr>
          <w:trHeight w:val="403"/>
        </w:trPr>
        <w:tc>
          <w:tcPr>
            <w:tcW w:w="2831" w:type="dxa"/>
            <w:shd w:val="clear" w:color="auto" w:fill="92D050"/>
          </w:tcPr>
          <w:p w14:paraId="4B4B29C6" w14:textId="77777777" w:rsidR="00E7470B" w:rsidRPr="002B3A00" w:rsidRDefault="00E7470B" w:rsidP="00553D67">
            <w:pPr>
              <w:tabs>
                <w:tab w:val="left" w:pos="720"/>
              </w:tabs>
              <w:spacing w:before="120" w:after="120" w:line="240" w:lineRule="auto"/>
              <w:ind w:right="-737"/>
              <w:rPr>
                <w:sz w:val="20"/>
                <w:lang w:val="en-US"/>
              </w:rPr>
            </w:pPr>
            <w:r w:rsidRPr="002B3A00">
              <w:rPr>
                <w:sz w:val="20"/>
                <w:lang w:val="en-US"/>
              </w:rPr>
              <w:t>Unlikely</w:t>
            </w:r>
          </w:p>
        </w:tc>
        <w:tc>
          <w:tcPr>
            <w:tcW w:w="5245" w:type="dxa"/>
          </w:tcPr>
          <w:p w14:paraId="1D8E80F3" w14:textId="77777777" w:rsidR="00E7470B" w:rsidRPr="002B3A00" w:rsidRDefault="00E7470B" w:rsidP="00553D67">
            <w:pPr>
              <w:tabs>
                <w:tab w:val="left" w:pos="720"/>
              </w:tabs>
              <w:spacing w:before="120" w:after="120" w:line="240" w:lineRule="auto"/>
              <w:ind w:right="-737"/>
              <w:rPr>
                <w:sz w:val="20"/>
                <w:lang w:val="en-US"/>
              </w:rPr>
            </w:pPr>
            <w:r w:rsidRPr="002B3A00">
              <w:rPr>
                <w:rFonts w:eastAsiaTheme="minorHAnsi"/>
                <w:sz w:val="20"/>
              </w:rPr>
              <w:t>The event is not likely to occur in the next 3 years</w:t>
            </w:r>
          </w:p>
        </w:tc>
      </w:tr>
      <w:tr w:rsidR="00E7470B" w14:paraId="6BAAA19F" w14:textId="77777777" w:rsidTr="00553D67">
        <w:trPr>
          <w:trHeight w:val="437"/>
        </w:trPr>
        <w:tc>
          <w:tcPr>
            <w:tcW w:w="2831" w:type="dxa"/>
            <w:shd w:val="clear" w:color="auto" w:fill="00B0F0"/>
          </w:tcPr>
          <w:p w14:paraId="32DF4230" w14:textId="77777777" w:rsidR="00E7470B" w:rsidRPr="002B3A00" w:rsidRDefault="00E7470B" w:rsidP="00553D67">
            <w:pPr>
              <w:tabs>
                <w:tab w:val="left" w:pos="720"/>
              </w:tabs>
              <w:spacing w:before="120" w:after="120" w:line="240" w:lineRule="auto"/>
              <w:ind w:right="-737"/>
              <w:rPr>
                <w:sz w:val="20"/>
                <w:lang w:val="en-US"/>
              </w:rPr>
            </w:pPr>
            <w:r w:rsidRPr="002B3A00">
              <w:rPr>
                <w:sz w:val="20"/>
                <w:lang w:val="en-US"/>
              </w:rPr>
              <w:t>Rare</w:t>
            </w:r>
          </w:p>
        </w:tc>
        <w:tc>
          <w:tcPr>
            <w:tcW w:w="5245" w:type="dxa"/>
          </w:tcPr>
          <w:p w14:paraId="39FAF58B" w14:textId="77777777" w:rsidR="00E7470B" w:rsidRPr="002B3A00" w:rsidRDefault="00E7470B" w:rsidP="00553D67">
            <w:pPr>
              <w:tabs>
                <w:tab w:val="left" w:pos="720"/>
              </w:tabs>
              <w:spacing w:before="120" w:after="120" w:line="240" w:lineRule="auto"/>
              <w:ind w:right="-737"/>
              <w:rPr>
                <w:sz w:val="20"/>
                <w:lang w:val="en-US"/>
              </w:rPr>
            </w:pPr>
            <w:r w:rsidRPr="002B3A00">
              <w:rPr>
                <w:rFonts w:eastAsiaTheme="minorHAnsi"/>
                <w:sz w:val="20"/>
              </w:rPr>
              <w:t>The event will only occur in exceptional circumstances</w:t>
            </w:r>
          </w:p>
        </w:tc>
      </w:tr>
    </w:tbl>
    <w:p w14:paraId="0C073F96" w14:textId="77777777" w:rsidR="00E7470B" w:rsidRDefault="00E7470B" w:rsidP="00E7470B">
      <w:pPr>
        <w:tabs>
          <w:tab w:val="left" w:pos="720"/>
        </w:tabs>
        <w:spacing w:line="240" w:lineRule="auto"/>
        <w:ind w:right="-737"/>
        <w:rPr>
          <w:sz w:val="20"/>
          <w:lang w:val="en-US"/>
        </w:rPr>
      </w:pPr>
    </w:p>
    <w:p w14:paraId="79D5630B" w14:textId="77777777" w:rsidR="00E7470B" w:rsidRDefault="00E7470B" w:rsidP="0016105D">
      <w:pPr>
        <w:tabs>
          <w:tab w:val="left" w:pos="720"/>
        </w:tabs>
        <w:spacing w:line="240" w:lineRule="auto"/>
        <w:ind w:right="-737"/>
        <w:rPr>
          <w:sz w:val="20"/>
          <w:lang w:val="en-US"/>
        </w:rPr>
      </w:pPr>
    </w:p>
    <w:p w14:paraId="56FD05BB" w14:textId="77777777" w:rsidR="00463D9C" w:rsidRDefault="00463D9C" w:rsidP="0016105D">
      <w:pPr>
        <w:tabs>
          <w:tab w:val="left" w:pos="720"/>
        </w:tabs>
        <w:spacing w:line="240" w:lineRule="auto"/>
        <w:ind w:right="-737"/>
        <w:rPr>
          <w:sz w:val="20"/>
          <w:lang w:val="en-US"/>
        </w:rPr>
        <w:sectPr w:rsidR="00463D9C" w:rsidSect="00DC04C6">
          <w:headerReference w:type="default" r:id="rId10"/>
          <w:pgSz w:w="11900" w:h="16840"/>
          <w:pgMar w:top="1985" w:right="1270" w:bottom="1276" w:left="1843" w:header="703" w:footer="471" w:gutter="0"/>
          <w:cols w:space="708"/>
          <w:docGrid w:linePitch="326"/>
        </w:sectPr>
      </w:pPr>
    </w:p>
    <w:p w14:paraId="334A32BF" w14:textId="4DE14ABD" w:rsidR="00837543" w:rsidRDefault="00837543" w:rsidP="0016105D">
      <w:pPr>
        <w:tabs>
          <w:tab w:val="left" w:pos="720"/>
        </w:tabs>
        <w:spacing w:line="240" w:lineRule="auto"/>
        <w:ind w:right="-737"/>
        <w:rPr>
          <w:sz w:val="20"/>
          <w:lang w:val="en-US"/>
        </w:rPr>
      </w:pPr>
    </w:p>
    <w:p w14:paraId="57472F30" w14:textId="06348EB8" w:rsidR="00C01230" w:rsidRDefault="002B28BA" w:rsidP="00463D9C">
      <w:pPr>
        <w:tabs>
          <w:tab w:val="left" w:pos="720"/>
        </w:tabs>
        <w:spacing w:line="240" w:lineRule="auto"/>
        <w:ind w:left="709" w:right="-737"/>
        <w:rPr>
          <w:b/>
          <w:sz w:val="20"/>
          <w:lang w:val="en-US"/>
        </w:rPr>
      </w:pPr>
      <w:r>
        <w:rPr>
          <w:b/>
          <w:noProof/>
          <w:sz w:val="20"/>
          <w:lang w:eastAsia="en-AU"/>
        </w:rPr>
        <w:drawing>
          <wp:inline distT="0" distB="0" distL="0" distR="0" wp14:anchorId="36280446" wp14:editId="6251D7FD">
            <wp:extent cx="8028305" cy="4742822"/>
            <wp:effectExtent l="0" t="0" r="0" b="635"/>
            <wp:docPr id="4" name="Picture 4" descr="C:\Users\dorota.gancarz\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a.gancarz\Deskto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2236" cy="4762867"/>
                    </a:xfrm>
                    <a:prstGeom prst="rect">
                      <a:avLst/>
                    </a:prstGeom>
                    <a:noFill/>
                    <a:ln>
                      <a:noFill/>
                    </a:ln>
                  </pic:spPr>
                </pic:pic>
              </a:graphicData>
            </a:graphic>
          </wp:inline>
        </w:drawing>
      </w:r>
    </w:p>
    <w:p w14:paraId="60EA3906" w14:textId="77777777" w:rsidR="00C01230" w:rsidRDefault="00C01230" w:rsidP="00E7470B">
      <w:pPr>
        <w:tabs>
          <w:tab w:val="left" w:pos="720"/>
        </w:tabs>
        <w:spacing w:line="240" w:lineRule="auto"/>
        <w:ind w:left="-851" w:right="-737"/>
        <w:rPr>
          <w:b/>
          <w:sz w:val="20"/>
          <w:lang w:val="en-US"/>
        </w:rPr>
      </w:pPr>
    </w:p>
    <w:p w14:paraId="149A8D4C" w14:textId="77777777" w:rsidR="00C01230" w:rsidRDefault="00C01230" w:rsidP="00E7470B">
      <w:pPr>
        <w:tabs>
          <w:tab w:val="left" w:pos="720"/>
        </w:tabs>
        <w:spacing w:line="240" w:lineRule="auto"/>
        <w:ind w:left="-851" w:right="-737"/>
        <w:rPr>
          <w:b/>
          <w:sz w:val="20"/>
          <w:lang w:val="en-US"/>
        </w:rPr>
      </w:pPr>
    </w:p>
    <w:p w14:paraId="082B6897" w14:textId="77777777" w:rsidR="00C01230" w:rsidRDefault="00C01230" w:rsidP="00E7470B">
      <w:pPr>
        <w:tabs>
          <w:tab w:val="left" w:pos="720"/>
        </w:tabs>
        <w:spacing w:line="240" w:lineRule="auto"/>
        <w:ind w:left="-851" w:right="-737"/>
        <w:rPr>
          <w:b/>
          <w:sz w:val="20"/>
          <w:lang w:val="en-US"/>
        </w:rPr>
      </w:pPr>
    </w:p>
    <w:p w14:paraId="1805AEE1" w14:textId="62A4B994" w:rsidR="00C01230" w:rsidRDefault="0016105D" w:rsidP="0016105D">
      <w:pPr>
        <w:tabs>
          <w:tab w:val="left" w:pos="720"/>
        </w:tabs>
        <w:spacing w:line="240" w:lineRule="auto"/>
        <w:ind w:left="-851" w:right="-737"/>
        <w:rPr>
          <w:b/>
          <w:sz w:val="20"/>
          <w:lang w:val="en-US"/>
        </w:rPr>
      </w:pPr>
      <w:r>
        <w:rPr>
          <w:b/>
          <w:sz w:val="20"/>
          <w:lang w:val="en-US"/>
        </w:rPr>
        <w:br w:type="page"/>
      </w:r>
    </w:p>
    <w:p w14:paraId="0E55A0C1" w14:textId="77777777" w:rsidR="00463D9C" w:rsidRDefault="00463D9C" w:rsidP="0016105D">
      <w:pPr>
        <w:tabs>
          <w:tab w:val="left" w:pos="720"/>
        </w:tabs>
        <w:spacing w:line="240" w:lineRule="auto"/>
        <w:ind w:left="-709" w:right="-737"/>
        <w:rPr>
          <w:b/>
          <w:sz w:val="22"/>
          <w:szCs w:val="22"/>
          <w:lang w:val="en-US"/>
        </w:rPr>
        <w:sectPr w:rsidR="00463D9C" w:rsidSect="00463D9C">
          <w:pgSz w:w="16840" w:h="11900" w:orient="landscape"/>
          <w:pgMar w:top="1843" w:right="1985" w:bottom="1270" w:left="1276" w:header="703" w:footer="471" w:gutter="0"/>
          <w:cols w:space="708"/>
          <w:docGrid w:linePitch="326"/>
        </w:sectPr>
      </w:pPr>
    </w:p>
    <w:p w14:paraId="36D3EC5C" w14:textId="008BCD75" w:rsidR="00E7470B" w:rsidRPr="0016105D" w:rsidRDefault="00E7470B" w:rsidP="0016105D">
      <w:pPr>
        <w:tabs>
          <w:tab w:val="left" w:pos="720"/>
        </w:tabs>
        <w:spacing w:line="240" w:lineRule="auto"/>
        <w:ind w:left="-709" w:right="-737"/>
        <w:rPr>
          <w:b/>
          <w:sz w:val="22"/>
          <w:szCs w:val="22"/>
          <w:lang w:val="en-US"/>
        </w:rPr>
      </w:pPr>
      <w:r w:rsidRPr="0016105D">
        <w:rPr>
          <w:b/>
          <w:sz w:val="22"/>
          <w:szCs w:val="22"/>
          <w:lang w:val="en-US"/>
        </w:rPr>
        <w:lastRenderedPageBreak/>
        <w:t xml:space="preserve">Risk Matrix- Function of Consequences and Likelihood </w:t>
      </w:r>
    </w:p>
    <w:p w14:paraId="7B1F4EEC" w14:textId="77777777" w:rsidR="00E7470B" w:rsidRDefault="00E7470B" w:rsidP="00E7470B">
      <w:pPr>
        <w:tabs>
          <w:tab w:val="left" w:pos="720"/>
        </w:tabs>
        <w:spacing w:line="240" w:lineRule="auto"/>
        <w:ind w:right="-737"/>
        <w:rPr>
          <w:rFonts w:asciiTheme="minorHAnsi" w:eastAsiaTheme="minorHAnsi" w:hAnsiTheme="minorHAnsi" w:cstheme="minorBidi"/>
          <w:szCs w:val="24"/>
          <w:lang w:val="en-US"/>
        </w:rPr>
      </w:pPr>
      <w:r>
        <w:rPr>
          <w:lang w:val="en-US"/>
        </w:rPr>
        <w:fldChar w:fldCharType="begin"/>
      </w:r>
      <w:r>
        <w:rPr>
          <w:lang w:val="en-US"/>
        </w:rPr>
        <w:instrText xml:space="preserve"> LINK Excel.Sheet.12 "Book1" "Sheet1!R1C1:R12C9" \a \f 4 \h  \* MERGEFORMAT </w:instrText>
      </w:r>
      <w:r>
        <w:rPr>
          <w:lang w:val="en-US"/>
        </w:rPr>
        <w:fldChar w:fldCharType="separate"/>
      </w:r>
    </w:p>
    <w:p w14:paraId="7B23BB34" w14:textId="77777777" w:rsidR="00E7470B" w:rsidRDefault="00E7470B" w:rsidP="00E7470B">
      <w:pPr>
        <w:tabs>
          <w:tab w:val="left" w:pos="993"/>
        </w:tabs>
        <w:spacing w:line="240" w:lineRule="auto"/>
        <w:ind w:left="-851" w:right="-737"/>
        <w:rPr>
          <w:b/>
          <w:sz w:val="20"/>
          <w:lang w:val="en-US"/>
        </w:rPr>
      </w:pPr>
      <w:r>
        <w:rPr>
          <w:b/>
          <w:sz w:val="20"/>
          <w:lang w:val="en-US"/>
        </w:rPr>
        <w:fldChar w:fldCharType="end"/>
      </w:r>
      <w:r w:rsidRPr="00E7470B">
        <w:rPr>
          <w:b/>
          <w:noProof/>
          <w:sz w:val="20"/>
          <w:lang w:eastAsia="en-AU"/>
        </w:rPr>
        <w:drawing>
          <wp:inline distT="0" distB="0" distL="0" distR="0" wp14:anchorId="77795676" wp14:editId="04F6F40B">
            <wp:extent cx="5657850" cy="4038600"/>
            <wp:effectExtent l="0" t="0" r="0" b="0"/>
            <wp:docPr id="11" name="Picture 11" descr="P:\Quality\SAHMRI GLOBAL\Risk Management\Consequence vs likelihood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ality\SAHMRI GLOBAL\Risk Management\Consequence vs likelihood grap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4038600"/>
                    </a:xfrm>
                    <a:prstGeom prst="rect">
                      <a:avLst/>
                    </a:prstGeom>
                    <a:noFill/>
                    <a:ln>
                      <a:noFill/>
                    </a:ln>
                  </pic:spPr>
                </pic:pic>
              </a:graphicData>
            </a:graphic>
          </wp:inline>
        </w:drawing>
      </w:r>
    </w:p>
    <w:p w14:paraId="24D1A351" w14:textId="77777777" w:rsidR="00E7470B" w:rsidRDefault="00E7470B" w:rsidP="00E7470B">
      <w:pPr>
        <w:tabs>
          <w:tab w:val="left" w:pos="993"/>
        </w:tabs>
        <w:spacing w:line="240" w:lineRule="auto"/>
        <w:ind w:left="-851" w:right="-737"/>
        <w:rPr>
          <w:b/>
          <w:sz w:val="20"/>
          <w:lang w:val="en-US"/>
        </w:rPr>
      </w:pPr>
    </w:p>
    <w:p w14:paraId="197323C9" w14:textId="77777777" w:rsidR="00E7470B" w:rsidRDefault="00E7470B" w:rsidP="00E7470B">
      <w:pPr>
        <w:tabs>
          <w:tab w:val="left" w:pos="993"/>
        </w:tabs>
        <w:spacing w:line="240" w:lineRule="auto"/>
        <w:ind w:left="-851" w:right="-737"/>
        <w:rPr>
          <w:b/>
          <w:sz w:val="20"/>
          <w:lang w:val="en-US"/>
        </w:rPr>
      </w:pPr>
    </w:p>
    <w:p w14:paraId="713082D3" w14:textId="77777777" w:rsidR="00E7470B" w:rsidRDefault="00E7470B" w:rsidP="00E7470B">
      <w:pPr>
        <w:tabs>
          <w:tab w:val="left" w:pos="720"/>
        </w:tabs>
        <w:spacing w:line="240" w:lineRule="auto"/>
        <w:ind w:left="-851" w:right="-737"/>
        <w:rPr>
          <w:b/>
          <w:sz w:val="20"/>
          <w:lang w:val="en-US"/>
        </w:rPr>
      </w:pPr>
      <w:r>
        <w:rPr>
          <w:b/>
          <w:sz w:val="20"/>
          <w:lang w:val="en-US"/>
        </w:rPr>
        <w:t>Risk Rating</w:t>
      </w:r>
    </w:p>
    <w:p w14:paraId="6D17CA51" w14:textId="77777777" w:rsidR="00E7470B" w:rsidRDefault="00E7470B" w:rsidP="00E7470B">
      <w:pPr>
        <w:tabs>
          <w:tab w:val="left" w:pos="720"/>
        </w:tabs>
        <w:spacing w:line="240" w:lineRule="auto"/>
        <w:ind w:left="-851" w:right="-737"/>
        <w:rPr>
          <w:b/>
          <w:sz w:val="20"/>
          <w:lang w:val="en-US"/>
        </w:rPr>
      </w:pPr>
    </w:p>
    <w:tbl>
      <w:tblPr>
        <w:tblStyle w:val="TableGrid"/>
        <w:tblW w:w="0" w:type="auto"/>
        <w:tblInd w:w="-851" w:type="dxa"/>
        <w:tblLook w:val="04A0" w:firstRow="1" w:lastRow="0" w:firstColumn="1" w:lastColumn="0" w:noHBand="0" w:noVBand="1"/>
      </w:tblPr>
      <w:tblGrid>
        <w:gridCol w:w="1130"/>
        <w:gridCol w:w="1134"/>
        <w:gridCol w:w="992"/>
        <w:gridCol w:w="992"/>
      </w:tblGrid>
      <w:tr w:rsidR="00E7470B" w14:paraId="0BF8FF7A" w14:textId="77777777" w:rsidTr="00553D67">
        <w:trPr>
          <w:trHeight w:val="634"/>
        </w:trPr>
        <w:tc>
          <w:tcPr>
            <w:tcW w:w="1130" w:type="dxa"/>
            <w:shd w:val="clear" w:color="auto" w:fill="FF0000"/>
          </w:tcPr>
          <w:p w14:paraId="44B97465" w14:textId="77777777" w:rsidR="00E7470B" w:rsidRDefault="00E7470B" w:rsidP="00553D67">
            <w:pPr>
              <w:tabs>
                <w:tab w:val="left" w:pos="720"/>
              </w:tabs>
              <w:spacing w:before="240" w:line="240" w:lineRule="auto"/>
              <w:ind w:right="-737"/>
              <w:rPr>
                <w:b/>
                <w:sz w:val="20"/>
                <w:lang w:val="en-US"/>
              </w:rPr>
            </w:pPr>
            <w:r>
              <w:rPr>
                <w:b/>
                <w:sz w:val="20"/>
                <w:lang w:val="en-US"/>
              </w:rPr>
              <w:t>Extreme</w:t>
            </w:r>
          </w:p>
        </w:tc>
        <w:tc>
          <w:tcPr>
            <w:tcW w:w="1134" w:type="dxa"/>
            <w:shd w:val="clear" w:color="auto" w:fill="FFC000"/>
          </w:tcPr>
          <w:p w14:paraId="19B320FC" w14:textId="77777777" w:rsidR="00E7470B" w:rsidRDefault="00E7470B" w:rsidP="00553D67">
            <w:pPr>
              <w:tabs>
                <w:tab w:val="left" w:pos="720"/>
              </w:tabs>
              <w:spacing w:before="240" w:line="240" w:lineRule="auto"/>
              <w:ind w:right="-737"/>
              <w:rPr>
                <w:b/>
                <w:sz w:val="20"/>
                <w:lang w:val="en-US"/>
              </w:rPr>
            </w:pPr>
            <w:r>
              <w:rPr>
                <w:b/>
                <w:sz w:val="20"/>
                <w:lang w:val="en-US"/>
              </w:rPr>
              <w:t>High</w:t>
            </w:r>
          </w:p>
        </w:tc>
        <w:tc>
          <w:tcPr>
            <w:tcW w:w="992" w:type="dxa"/>
            <w:shd w:val="clear" w:color="auto" w:fill="FFFF00"/>
          </w:tcPr>
          <w:p w14:paraId="0805124E" w14:textId="77777777" w:rsidR="00E7470B" w:rsidRDefault="00E7470B" w:rsidP="00553D67">
            <w:pPr>
              <w:tabs>
                <w:tab w:val="left" w:pos="720"/>
              </w:tabs>
              <w:spacing w:before="240" w:line="240" w:lineRule="auto"/>
              <w:ind w:right="-737"/>
              <w:rPr>
                <w:b/>
                <w:sz w:val="20"/>
                <w:lang w:val="en-US"/>
              </w:rPr>
            </w:pPr>
            <w:r>
              <w:rPr>
                <w:b/>
                <w:sz w:val="20"/>
                <w:lang w:val="en-US"/>
              </w:rPr>
              <w:t>Medium</w:t>
            </w:r>
          </w:p>
        </w:tc>
        <w:tc>
          <w:tcPr>
            <w:tcW w:w="992" w:type="dxa"/>
            <w:shd w:val="clear" w:color="auto" w:fill="00B050"/>
          </w:tcPr>
          <w:p w14:paraId="459BFB00" w14:textId="77777777" w:rsidR="00E7470B" w:rsidRDefault="00E7470B" w:rsidP="00553D67">
            <w:pPr>
              <w:tabs>
                <w:tab w:val="left" w:pos="720"/>
              </w:tabs>
              <w:spacing w:before="240" w:line="240" w:lineRule="auto"/>
              <w:ind w:right="-737"/>
              <w:rPr>
                <w:b/>
                <w:sz w:val="20"/>
                <w:lang w:val="en-US"/>
              </w:rPr>
            </w:pPr>
            <w:r>
              <w:rPr>
                <w:b/>
                <w:sz w:val="20"/>
                <w:lang w:val="en-US"/>
              </w:rPr>
              <w:t>Low</w:t>
            </w:r>
          </w:p>
        </w:tc>
      </w:tr>
    </w:tbl>
    <w:p w14:paraId="432181B2" w14:textId="77777777" w:rsidR="00DC04C6" w:rsidRPr="007E6427" w:rsidRDefault="00DC04C6" w:rsidP="00215C5E">
      <w:pPr>
        <w:tabs>
          <w:tab w:val="left" w:pos="720"/>
        </w:tabs>
        <w:spacing w:line="240" w:lineRule="auto"/>
        <w:ind w:left="-851" w:right="-737"/>
        <w:rPr>
          <w:sz w:val="20"/>
          <w:lang w:val="en-US"/>
        </w:rPr>
      </w:pPr>
    </w:p>
    <w:sectPr w:rsidR="00DC04C6" w:rsidRPr="007E6427" w:rsidSect="00463D9C">
      <w:pgSz w:w="11900" w:h="16840"/>
      <w:pgMar w:top="1985" w:right="1270" w:bottom="1276" w:left="1843" w:header="703"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1926" w14:textId="77777777" w:rsidR="009250A9" w:rsidRDefault="009250A9">
      <w:pPr>
        <w:spacing w:line="240" w:lineRule="auto"/>
      </w:pPr>
      <w:r>
        <w:separator/>
      </w:r>
    </w:p>
  </w:endnote>
  <w:endnote w:type="continuationSeparator" w:id="0">
    <w:p w14:paraId="713138BB" w14:textId="77777777" w:rsidR="009250A9" w:rsidRDefault="00925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576"/>
      <w:gridCol w:w="2851"/>
    </w:tblGrid>
    <w:tr w:rsidR="00CC5534" w:rsidRPr="00923406" w14:paraId="2830C75B" w14:textId="77777777" w:rsidTr="00463D9C">
      <w:trPr>
        <w:jc w:val="center"/>
      </w:trPr>
      <w:tc>
        <w:tcPr>
          <w:tcW w:w="3686" w:type="dxa"/>
        </w:tcPr>
        <w:p w14:paraId="4FC8AA44" w14:textId="004B6487" w:rsidR="00CC5534" w:rsidRPr="00923406" w:rsidRDefault="00CC5534" w:rsidP="00D157F7">
          <w:pPr>
            <w:pStyle w:val="Footer"/>
            <w:rPr>
              <w:sz w:val="18"/>
              <w:szCs w:val="18"/>
            </w:rPr>
          </w:pPr>
          <w:r>
            <w:rPr>
              <w:sz w:val="18"/>
              <w:szCs w:val="18"/>
            </w:rPr>
            <w:t xml:space="preserve">Date Issued: </w:t>
          </w:r>
          <w:r w:rsidR="00D157F7">
            <w:rPr>
              <w:sz w:val="18"/>
              <w:szCs w:val="18"/>
            </w:rPr>
            <w:t xml:space="preserve">09 </w:t>
          </w:r>
          <w:r w:rsidR="004E2A31">
            <w:rPr>
              <w:sz w:val="18"/>
              <w:szCs w:val="18"/>
            </w:rPr>
            <w:t>Oct</w:t>
          </w:r>
          <w:r w:rsidR="00D157F7">
            <w:rPr>
              <w:sz w:val="18"/>
              <w:szCs w:val="18"/>
            </w:rPr>
            <w:t xml:space="preserve"> 201</w:t>
          </w:r>
          <w:r w:rsidR="004E2A31">
            <w:rPr>
              <w:sz w:val="18"/>
              <w:szCs w:val="18"/>
            </w:rPr>
            <w:t>8</w:t>
          </w:r>
        </w:p>
      </w:tc>
      <w:tc>
        <w:tcPr>
          <w:tcW w:w="2822" w:type="dxa"/>
        </w:tcPr>
        <w:p w14:paraId="6038C832" w14:textId="77777777" w:rsidR="00CC5534" w:rsidRPr="00923406" w:rsidRDefault="00CC5534" w:rsidP="00463D9C">
          <w:pPr>
            <w:pStyle w:val="Footer"/>
            <w:jc w:val="both"/>
            <w:rPr>
              <w:sz w:val="18"/>
              <w:szCs w:val="18"/>
            </w:rPr>
          </w:pPr>
          <w:r w:rsidRPr="00923406">
            <w:rPr>
              <w:sz w:val="18"/>
              <w:szCs w:val="18"/>
            </w:rPr>
            <w:t xml:space="preserve">Page </w:t>
          </w:r>
          <w:r w:rsidRPr="00923406">
            <w:rPr>
              <w:sz w:val="18"/>
              <w:szCs w:val="18"/>
            </w:rPr>
            <w:fldChar w:fldCharType="begin"/>
          </w:r>
          <w:r w:rsidRPr="00923406">
            <w:rPr>
              <w:sz w:val="18"/>
              <w:szCs w:val="18"/>
            </w:rPr>
            <w:instrText xml:space="preserve"> PAGE </w:instrText>
          </w:r>
          <w:r w:rsidRPr="00923406">
            <w:rPr>
              <w:sz w:val="18"/>
              <w:szCs w:val="18"/>
            </w:rPr>
            <w:fldChar w:fldCharType="separate"/>
          </w:r>
          <w:r w:rsidR="003F3A5C">
            <w:rPr>
              <w:noProof/>
              <w:sz w:val="18"/>
              <w:szCs w:val="18"/>
            </w:rPr>
            <w:t>8</w:t>
          </w:r>
          <w:r w:rsidRPr="00923406">
            <w:rPr>
              <w:sz w:val="18"/>
              <w:szCs w:val="18"/>
            </w:rPr>
            <w:fldChar w:fldCharType="end"/>
          </w:r>
          <w:r w:rsidRPr="00923406">
            <w:rPr>
              <w:sz w:val="18"/>
              <w:szCs w:val="18"/>
            </w:rPr>
            <w:t xml:space="preserve"> of </w:t>
          </w:r>
          <w:r w:rsidRPr="00923406">
            <w:rPr>
              <w:sz w:val="18"/>
              <w:szCs w:val="18"/>
            </w:rPr>
            <w:fldChar w:fldCharType="begin"/>
          </w:r>
          <w:r w:rsidRPr="00923406">
            <w:rPr>
              <w:sz w:val="18"/>
              <w:szCs w:val="18"/>
            </w:rPr>
            <w:instrText xml:space="preserve"> NUMPAGES </w:instrText>
          </w:r>
          <w:r w:rsidRPr="00923406">
            <w:rPr>
              <w:sz w:val="18"/>
              <w:szCs w:val="18"/>
            </w:rPr>
            <w:fldChar w:fldCharType="separate"/>
          </w:r>
          <w:r w:rsidR="003F3A5C">
            <w:rPr>
              <w:noProof/>
              <w:sz w:val="18"/>
              <w:szCs w:val="18"/>
            </w:rPr>
            <w:t>9</w:t>
          </w:r>
          <w:r w:rsidRPr="00923406">
            <w:rPr>
              <w:sz w:val="18"/>
              <w:szCs w:val="18"/>
            </w:rPr>
            <w:fldChar w:fldCharType="end"/>
          </w:r>
          <w:r w:rsidRPr="00923406">
            <w:rPr>
              <w:sz w:val="18"/>
              <w:szCs w:val="18"/>
            </w:rPr>
            <w:t xml:space="preserve"> </w:t>
          </w:r>
        </w:p>
      </w:tc>
      <w:tc>
        <w:tcPr>
          <w:tcW w:w="3116" w:type="dxa"/>
        </w:tcPr>
        <w:p w14:paraId="7D6509AA" w14:textId="675C43A4" w:rsidR="00CC5534" w:rsidRPr="00923406" w:rsidRDefault="0016105D" w:rsidP="00D157F7">
          <w:pPr>
            <w:pStyle w:val="Footer"/>
            <w:jc w:val="right"/>
            <w:rPr>
              <w:sz w:val="18"/>
              <w:szCs w:val="18"/>
            </w:rPr>
          </w:pPr>
          <w:r>
            <w:rPr>
              <w:sz w:val="18"/>
              <w:szCs w:val="18"/>
            </w:rPr>
            <w:t>PRO</w:t>
          </w:r>
          <w:r w:rsidR="00D157F7">
            <w:rPr>
              <w:sz w:val="18"/>
              <w:szCs w:val="18"/>
            </w:rPr>
            <w:t xml:space="preserve"> 0206/</w:t>
          </w:r>
          <w:r w:rsidR="004E2A31">
            <w:rPr>
              <w:sz w:val="18"/>
              <w:szCs w:val="18"/>
            </w:rPr>
            <w:t>2</w:t>
          </w:r>
        </w:p>
      </w:tc>
    </w:tr>
    <w:tr w:rsidR="00CC5534" w:rsidRPr="00923406" w14:paraId="67714DA5" w14:textId="77777777" w:rsidTr="00463D9C">
      <w:trPr>
        <w:jc w:val="center"/>
      </w:trPr>
      <w:tc>
        <w:tcPr>
          <w:tcW w:w="9624" w:type="dxa"/>
          <w:gridSpan w:val="3"/>
        </w:tcPr>
        <w:p w14:paraId="725CA6A0" w14:textId="77777777" w:rsidR="00CC5534" w:rsidRPr="00923406" w:rsidRDefault="00CC5534" w:rsidP="00794BCD">
          <w:pPr>
            <w:pStyle w:val="Footer"/>
            <w:jc w:val="center"/>
            <w:rPr>
              <w:sz w:val="18"/>
              <w:szCs w:val="18"/>
            </w:rPr>
          </w:pPr>
          <w:r>
            <w:rPr>
              <w:sz w:val="18"/>
              <w:szCs w:val="18"/>
            </w:rPr>
            <w:t>This document is uncontrolled when printed</w:t>
          </w:r>
        </w:p>
      </w:tc>
    </w:tr>
  </w:tbl>
  <w:p w14:paraId="00BCA729" w14:textId="77777777" w:rsidR="00210864" w:rsidRPr="00D8679A" w:rsidRDefault="00210864" w:rsidP="00D867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6354" w14:textId="77777777" w:rsidR="009250A9" w:rsidRDefault="009250A9">
      <w:pPr>
        <w:spacing w:line="240" w:lineRule="auto"/>
      </w:pPr>
      <w:r>
        <w:separator/>
      </w:r>
    </w:p>
  </w:footnote>
  <w:footnote w:type="continuationSeparator" w:id="0">
    <w:p w14:paraId="16B833A6" w14:textId="77777777" w:rsidR="009250A9" w:rsidRDefault="009250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209B" w14:textId="77777777" w:rsidR="00210864" w:rsidRPr="00C92356" w:rsidRDefault="009A7020" w:rsidP="00C92356">
    <w:pPr>
      <w:pStyle w:val="Header"/>
      <w:ind w:left="-851" w:right="-170"/>
      <w:rPr>
        <w:sz w:val="36"/>
      </w:rPr>
    </w:pPr>
    <w:r w:rsidRPr="0099113D">
      <w:rPr>
        <w:rFonts w:ascii="Cambria" w:eastAsia="MS Mincho" w:hAnsi="Cambria" w:cs="Times New Roman"/>
        <w:noProof/>
        <w:szCs w:val="24"/>
        <w:lang w:eastAsia="en-AU"/>
      </w:rPr>
      <w:drawing>
        <wp:anchor distT="0" distB="0" distL="114300" distR="114300" simplePos="0" relativeHeight="251661312" behindDoc="1" locked="0" layoutInCell="1" allowOverlap="1" wp14:anchorId="308ACE26" wp14:editId="58134D7D">
          <wp:simplePos x="0" y="0"/>
          <wp:positionH relativeFrom="column">
            <wp:posOffset>-1229360</wp:posOffset>
          </wp:positionH>
          <wp:positionV relativeFrom="paragraph">
            <wp:posOffset>-446405</wp:posOffset>
          </wp:positionV>
          <wp:extent cx="7606030" cy="1085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0024 SAHMRI LHead A4.jpg"/>
                  <pic:cNvPicPr/>
                </pic:nvPicPr>
                <pic:blipFill rotWithShape="1">
                  <a:blip r:embed="rId1">
                    <a:extLst>
                      <a:ext uri="{28A0092B-C50C-407E-A947-70E740481C1C}">
                        <a14:useLocalDpi xmlns:a14="http://schemas.microsoft.com/office/drawing/2010/main" val="0"/>
                      </a:ext>
                    </a:extLst>
                  </a:blip>
                  <a:srcRect r="-44" b="89903"/>
                  <a:stretch/>
                </pic:blipFill>
                <pic:spPr bwMode="auto">
                  <a:xfrm>
                    <a:off x="0" y="0"/>
                    <a:ext cx="7606030"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864">
      <w:rPr>
        <w:noProof/>
        <w:sz w:val="36"/>
        <w:lang w:eastAsia="en-AU"/>
      </w:rPr>
      <mc:AlternateContent>
        <mc:Choice Requires="wps">
          <w:drawing>
            <wp:anchor distT="0" distB="0" distL="114300" distR="114300" simplePos="0" relativeHeight="251659264" behindDoc="0" locked="0" layoutInCell="1" allowOverlap="1" wp14:anchorId="77908B66" wp14:editId="7F40C3D5">
              <wp:simplePos x="0" y="0"/>
              <wp:positionH relativeFrom="column">
                <wp:posOffset>-685800</wp:posOffset>
              </wp:positionH>
              <wp:positionV relativeFrom="paragraph">
                <wp:posOffset>-100330</wp:posOffset>
              </wp:positionV>
              <wp:extent cx="5943600" cy="739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A15" w14:textId="29FFDBE6" w:rsidR="00210864" w:rsidRPr="00210864" w:rsidRDefault="00DB1510" w:rsidP="00DB1510">
                          <w:pPr>
                            <w:spacing w:line="276" w:lineRule="auto"/>
                            <w:rPr>
                              <w:color w:val="FFFFFF" w:themeColor="background1"/>
                              <w:szCs w:val="24"/>
                            </w:rPr>
                          </w:pPr>
                          <w:r>
                            <w:rPr>
                              <w:color w:val="FFFFFF" w:themeColor="background1"/>
                              <w:szCs w:val="24"/>
                            </w:rPr>
                            <w:t xml:space="preserve">PROCEDURE </w:t>
                          </w:r>
                        </w:p>
                        <w:p w14:paraId="7C18E301" w14:textId="00755128" w:rsidR="00210864" w:rsidRPr="0099113D" w:rsidRDefault="00DB1510" w:rsidP="00DB1510">
                          <w:pPr>
                            <w:spacing w:line="276" w:lineRule="auto"/>
                            <w:rPr>
                              <w:color w:val="FFFFFF" w:themeColor="background1"/>
                              <w:sz w:val="40"/>
                            </w:rPr>
                          </w:pPr>
                          <w:r>
                            <w:rPr>
                              <w:color w:val="FFFFFF" w:themeColor="background1"/>
                              <w:sz w:val="40"/>
                            </w:rPr>
                            <w:t>RISK MANAGEMENT</w:t>
                          </w:r>
                        </w:p>
                        <w:p w14:paraId="61C99339" w14:textId="77777777" w:rsidR="00210864" w:rsidRDefault="002108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08B66" id="_x0000_t202" coordsize="21600,21600" o:spt="202" path="m,l,21600r21600,l21600,xe">
              <v:stroke joinstyle="miter"/>
              <v:path gradientshapeok="t" o:connecttype="rect"/>
            </v:shapetype>
            <v:shape id="Text Box 3" o:spid="_x0000_s1026" type="#_x0000_t202" style="position:absolute;left:0;text-align:left;margin-left:-54pt;margin-top:-7.9pt;width:468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" filled="f" stroked="f">
              <v:textbox inset=",7.2pt,,7.2pt">
                <w:txbxContent>
                  <w:p w14:paraId="48799A15" w14:textId="29FFDBE6" w:rsidR="00210864" w:rsidRPr="00210864" w:rsidRDefault="00DB1510" w:rsidP="00DB1510">
                    <w:pPr>
                      <w:spacing w:line="276" w:lineRule="auto"/>
                      <w:rPr>
                        <w:color w:val="FFFFFF" w:themeColor="background1"/>
                        <w:szCs w:val="24"/>
                      </w:rPr>
                    </w:pPr>
                    <w:r>
                      <w:rPr>
                        <w:color w:val="FFFFFF" w:themeColor="background1"/>
                        <w:szCs w:val="24"/>
                      </w:rPr>
                      <w:t xml:space="preserve">PROCEDURE </w:t>
                    </w:r>
                  </w:p>
                  <w:p w14:paraId="7C18E301" w14:textId="00755128" w:rsidR="00210864" w:rsidRPr="0099113D" w:rsidRDefault="00DB1510" w:rsidP="00DB1510">
                    <w:pPr>
                      <w:spacing w:line="276" w:lineRule="auto"/>
                      <w:rPr>
                        <w:color w:val="FFFFFF" w:themeColor="background1"/>
                        <w:sz w:val="40"/>
                      </w:rPr>
                    </w:pPr>
                    <w:r>
                      <w:rPr>
                        <w:color w:val="FFFFFF" w:themeColor="background1"/>
                        <w:sz w:val="40"/>
                      </w:rPr>
                      <w:t>RISK MANAGEMENT</w:t>
                    </w:r>
                  </w:p>
                  <w:p w14:paraId="61C99339" w14:textId="77777777" w:rsidR="00210864" w:rsidRDefault="0021086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A413" w14:textId="77777777" w:rsidR="00DC04C6" w:rsidRPr="00C92356" w:rsidRDefault="00DC04C6" w:rsidP="00C92356">
    <w:pPr>
      <w:pStyle w:val="Header"/>
      <w:ind w:left="-851" w:right="-170"/>
      <w:rPr>
        <w:sz w:val="36"/>
      </w:rPr>
    </w:pPr>
    <w:r w:rsidRPr="0099113D">
      <w:rPr>
        <w:rFonts w:ascii="Cambria" w:eastAsia="MS Mincho" w:hAnsi="Cambria" w:cs="Times New Roman"/>
        <w:noProof/>
        <w:szCs w:val="24"/>
        <w:lang w:eastAsia="en-AU"/>
      </w:rPr>
      <w:drawing>
        <wp:anchor distT="0" distB="0" distL="114300" distR="114300" simplePos="0" relativeHeight="251667456" behindDoc="1" locked="0" layoutInCell="1" allowOverlap="1" wp14:anchorId="604320B8" wp14:editId="0A4B1527">
          <wp:simplePos x="0" y="0"/>
          <wp:positionH relativeFrom="column">
            <wp:posOffset>-1229360</wp:posOffset>
          </wp:positionH>
          <wp:positionV relativeFrom="paragraph">
            <wp:posOffset>-446405</wp:posOffset>
          </wp:positionV>
          <wp:extent cx="11096625" cy="10852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0024 SAHMRI LHead A4.jpg"/>
                  <pic:cNvPicPr/>
                </pic:nvPicPr>
                <pic:blipFill rotWithShape="1">
                  <a:blip r:embed="rId1">
                    <a:extLst>
                      <a:ext uri="{28A0092B-C50C-407E-A947-70E740481C1C}">
                        <a14:useLocalDpi xmlns:a14="http://schemas.microsoft.com/office/drawing/2010/main" val="0"/>
                      </a:ext>
                    </a:extLst>
                  </a:blip>
                  <a:srcRect r="-44" b="89903"/>
                  <a:stretch/>
                </pic:blipFill>
                <pic:spPr bwMode="auto">
                  <a:xfrm>
                    <a:off x="0" y="0"/>
                    <a:ext cx="1109662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AU"/>
      </w:rPr>
      <mc:AlternateContent>
        <mc:Choice Requires="wps">
          <w:drawing>
            <wp:anchor distT="0" distB="0" distL="114300" distR="114300" simplePos="0" relativeHeight="251666432" behindDoc="0" locked="0" layoutInCell="1" allowOverlap="1" wp14:anchorId="7D7738A1" wp14:editId="61C472EB">
              <wp:simplePos x="0" y="0"/>
              <wp:positionH relativeFrom="column">
                <wp:posOffset>-685800</wp:posOffset>
              </wp:positionH>
              <wp:positionV relativeFrom="paragraph">
                <wp:posOffset>-100330</wp:posOffset>
              </wp:positionV>
              <wp:extent cx="5943600" cy="739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E8FF" w14:textId="3DF82C42" w:rsidR="00DC04C6" w:rsidRPr="00210864" w:rsidRDefault="00240FE0" w:rsidP="00240FE0">
                          <w:pPr>
                            <w:spacing w:line="276" w:lineRule="auto"/>
                            <w:rPr>
                              <w:color w:val="FFFFFF" w:themeColor="background1"/>
                              <w:szCs w:val="24"/>
                            </w:rPr>
                          </w:pPr>
                          <w:r>
                            <w:rPr>
                              <w:color w:val="FFFFFF" w:themeColor="background1"/>
                              <w:szCs w:val="24"/>
                            </w:rPr>
                            <w:t xml:space="preserve">PROCEDURE </w:t>
                          </w:r>
                        </w:p>
                        <w:p w14:paraId="1D3B6212" w14:textId="07FE33F4" w:rsidR="00DC04C6" w:rsidRPr="0099113D" w:rsidRDefault="00240FE0" w:rsidP="00240FE0">
                          <w:pPr>
                            <w:spacing w:line="276" w:lineRule="auto"/>
                            <w:rPr>
                              <w:color w:val="FFFFFF" w:themeColor="background1"/>
                              <w:sz w:val="40"/>
                            </w:rPr>
                          </w:pPr>
                          <w:r>
                            <w:rPr>
                              <w:color w:val="FFFFFF" w:themeColor="background1"/>
                              <w:sz w:val="40"/>
                            </w:rPr>
                            <w:t>RISK MANAGEMENT</w:t>
                          </w:r>
                        </w:p>
                        <w:p w14:paraId="0A2E0171" w14:textId="77777777" w:rsidR="00DC04C6" w:rsidRDefault="00DC04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738A1" id="_x0000_t202" coordsize="21600,21600" o:spt="202" path="m,l,21600r21600,l21600,xe">
              <v:stroke joinstyle="miter"/>
              <v:path gradientshapeok="t" o:connecttype="rect"/>
            </v:shapetype>
            <v:shape id="Text Box 5" o:spid="_x0000_s1027" type="#_x0000_t202" style="position:absolute;left:0;text-align:left;margin-left:-54pt;margin-top:-7.9pt;width:468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" filled="f" stroked="f">
              <v:textbox inset=",7.2pt,,7.2pt">
                <w:txbxContent>
                  <w:p w14:paraId="6014E8FF" w14:textId="3DF82C42" w:rsidR="00DC04C6" w:rsidRPr="00210864" w:rsidRDefault="00240FE0" w:rsidP="00240FE0">
                    <w:pPr>
                      <w:spacing w:line="276" w:lineRule="auto"/>
                      <w:rPr>
                        <w:color w:val="FFFFFF" w:themeColor="background1"/>
                        <w:szCs w:val="24"/>
                      </w:rPr>
                    </w:pPr>
                    <w:r>
                      <w:rPr>
                        <w:color w:val="FFFFFF" w:themeColor="background1"/>
                        <w:szCs w:val="24"/>
                      </w:rPr>
                      <w:t xml:space="preserve">PROCEDURE </w:t>
                    </w:r>
                  </w:p>
                  <w:p w14:paraId="1D3B6212" w14:textId="07FE33F4" w:rsidR="00DC04C6" w:rsidRPr="0099113D" w:rsidRDefault="00240FE0" w:rsidP="00240FE0">
                    <w:pPr>
                      <w:spacing w:line="276" w:lineRule="auto"/>
                      <w:rPr>
                        <w:color w:val="FFFFFF" w:themeColor="background1"/>
                        <w:sz w:val="40"/>
                      </w:rPr>
                    </w:pPr>
                    <w:r>
                      <w:rPr>
                        <w:color w:val="FFFFFF" w:themeColor="background1"/>
                        <w:sz w:val="40"/>
                      </w:rPr>
                      <w:t>RISK MANAGEMENT</w:t>
                    </w:r>
                  </w:p>
                  <w:p w14:paraId="0A2E0171" w14:textId="77777777" w:rsidR="00DC04C6" w:rsidRDefault="00DC04C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4C7"/>
    <w:multiLevelType w:val="hybridMultilevel"/>
    <w:tmpl w:val="43CEA58C"/>
    <w:lvl w:ilvl="0" w:tplc="72F82E00">
      <w:start w:val="1"/>
      <w:numFmt w:val="decimal"/>
      <w:pStyle w:val="Heading2"/>
      <w:lvlText w:val="1.%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 w15:restartNumberingAfterBreak="0">
    <w:nsid w:val="0C5C4A37"/>
    <w:multiLevelType w:val="hybridMultilevel"/>
    <w:tmpl w:val="E5347D32"/>
    <w:lvl w:ilvl="0" w:tplc="04090001">
      <w:start w:val="1"/>
      <w:numFmt w:val="bullet"/>
      <w:lvlText w:val=""/>
      <w:lvlJc w:val="left"/>
      <w:pPr>
        <w:tabs>
          <w:tab w:val="num" w:pos="11"/>
        </w:tabs>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123477E1"/>
    <w:multiLevelType w:val="hybridMultilevel"/>
    <w:tmpl w:val="53A4269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2F165BC"/>
    <w:multiLevelType w:val="hybridMultilevel"/>
    <w:tmpl w:val="6026EE8C"/>
    <w:lvl w:ilvl="0" w:tplc="04090001">
      <w:start w:val="1"/>
      <w:numFmt w:val="bullet"/>
      <w:lvlText w:val=""/>
      <w:lvlJc w:val="left"/>
      <w:pPr>
        <w:tabs>
          <w:tab w:val="num" w:pos="11"/>
        </w:tabs>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16C95FC5"/>
    <w:multiLevelType w:val="hybridMultilevel"/>
    <w:tmpl w:val="AD2AB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907FC"/>
    <w:multiLevelType w:val="hybridMultilevel"/>
    <w:tmpl w:val="EEBE7834"/>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CA3E4D"/>
    <w:multiLevelType w:val="hybridMultilevel"/>
    <w:tmpl w:val="F6022FBC"/>
    <w:lvl w:ilvl="0" w:tplc="04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5B2C5F74"/>
    <w:multiLevelType w:val="hybridMultilevel"/>
    <w:tmpl w:val="6748C77E"/>
    <w:lvl w:ilvl="0" w:tplc="0C090003">
      <w:start w:val="1"/>
      <w:numFmt w:val="bullet"/>
      <w:lvlText w:val="o"/>
      <w:lvlJc w:val="left"/>
      <w:pPr>
        <w:ind w:left="371" w:hanging="360"/>
      </w:pPr>
      <w:rPr>
        <w:rFonts w:ascii="Courier New" w:hAnsi="Courier New" w:cs="Courier New"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8" w15:restartNumberingAfterBreak="0">
    <w:nsid w:val="5D3A31FF"/>
    <w:multiLevelType w:val="multilevel"/>
    <w:tmpl w:val="50925B60"/>
    <w:lvl w:ilvl="0">
      <w:start w:val="1"/>
      <w:numFmt w:val="decimal"/>
      <w:pStyle w:val="Heading1"/>
      <w:lvlText w:val="%1."/>
      <w:lvlJc w:val="left"/>
      <w:pPr>
        <w:ind w:left="11" w:hanging="360"/>
      </w:pPr>
    </w:lvl>
    <w:lvl w:ilvl="1">
      <w:start w:val="3"/>
      <w:numFmt w:val="decimal"/>
      <w:isLgl/>
      <w:lvlText w:val="%1.%2"/>
      <w:lvlJc w:val="left"/>
      <w:pPr>
        <w:ind w:left="578"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432" w:hanging="1080"/>
      </w:pPr>
      <w:rPr>
        <w:rFonts w:hint="default"/>
      </w:rPr>
    </w:lvl>
    <w:lvl w:ilvl="4">
      <w:start w:val="1"/>
      <w:numFmt w:val="decimal"/>
      <w:isLgl/>
      <w:lvlText w:val="%1.%2.%3.%4.%5"/>
      <w:lvlJc w:val="left"/>
      <w:pPr>
        <w:ind w:left="2999" w:hanging="1080"/>
      </w:pPr>
      <w:rPr>
        <w:rFonts w:hint="default"/>
      </w:rPr>
    </w:lvl>
    <w:lvl w:ilvl="5">
      <w:start w:val="1"/>
      <w:numFmt w:val="decimal"/>
      <w:isLgl/>
      <w:lvlText w:val="%1.%2.%3.%4.%5.%6"/>
      <w:lvlJc w:val="left"/>
      <w:pPr>
        <w:ind w:left="3926" w:hanging="1440"/>
      </w:pPr>
      <w:rPr>
        <w:rFonts w:hint="default"/>
      </w:rPr>
    </w:lvl>
    <w:lvl w:ilvl="6">
      <w:start w:val="1"/>
      <w:numFmt w:val="decimal"/>
      <w:isLgl/>
      <w:lvlText w:val="%1.%2.%3.%4.%5.%6.%7"/>
      <w:lvlJc w:val="left"/>
      <w:pPr>
        <w:ind w:left="4493" w:hanging="1440"/>
      </w:pPr>
      <w:rPr>
        <w:rFonts w:hint="default"/>
      </w:rPr>
    </w:lvl>
    <w:lvl w:ilvl="7">
      <w:start w:val="1"/>
      <w:numFmt w:val="decimal"/>
      <w:isLgl/>
      <w:lvlText w:val="%1.%2.%3.%4.%5.%6.%7.%8"/>
      <w:lvlJc w:val="left"/>
      <w:pPr>
        <w:ind w:left="5420" w:hanging="1800"/>
      </w:pPr>
      <w:rPr>
        <w:rFonts w:hint="default"/>
      </w:rPr>
    </w:lvl>
    <w:lvl w:ilvl="8">
      <w:start w:val="1"/>
      <w:numFmt w:val="decimal"/>
      <w:isLgl/>
      <w:lvlText w:val="%1.%2.%3.%4.%5.%6.%7.%8.%9"/>
      <w:lvlJc w:val="left"/>
      <w:pPr>
        <w:ind w:left="5987" w:hanging="1800"/>
      </w:pPr>
      <w:rPr>
        <w:rFonts w:hint="default"/>
      </w:rPr>
    </w:lvl>
  </w:abstractNum>
  <w:abstractNum w:abstractNumId="9" w15:restartNumberingAfterBreak="0">
    <w:nsid w:val="5FCE3145"/>
    <w:multiLevelType w:val="hybridMultilevel"/>
    <w:tmpl w:val="A47827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E2617C"/>
    <w:multiLevelType w:val="multilevel"/>
    <w:tmpl w:val="88826E5E"/>
    <w:lvl w:ilvl="0">
      <w:start w:val="1"/>
      <w:numFmt w:val="decimal"/>
      <w:pStyle w:val="SectionHeading"/>
      <w:lvlText w:val="%1."/>
      <w:lvlJc w:val="left"/>
      <w:pPr>
        <w:tabs>
          <w:tab w:val="num" w:pos="360"/>
        </w:tabs>
        <w:ind w:left="360" w:hanging="360"/>
      </w:pPr>
      <w:rPr>
        <w:sz w:val="24"/>
        <w:szCs w:val="24"/>
      </w:rPr>
    </w:lvl>
    <w:lvl w:ilvl="1">
      <w:start w:val="1"/>
      <w:numFmt w:val="decimal"/>
      <w:pStyle w:val="Subsection1"/>
      <w:lvlText w:val="%1.%2."/>
      <w:lvlJc w:val="left"/>
      <w:pPr>
        <w:tabs>
          <w:tab w:val="num" w:pos="1567"/>
        </w:tabs>
        <w:ind w:left="1567" w:hanging="432"/>
      </w:pPr>
      <w:rPr>
        <w:b/>
        <w:color w:val="auto"/>
        <w:sz w:val="22"/>
        <w:szCs w:val="22"/>
      </w:rPr>
    </w:lvl>
    <w:lvl w:ilvl="2">
      <w:start w:val="1"/>
      <w:numFmt w:val="decimal"/>
      <w:pStyle w:val="Subsection2"/>
      <w:lvlText w:val="%1.%2.%3."/>
      <w:lvlJc w:val="left"/>
      <w:pPr>
        <w:tabs>
          <w:tab w:val="num" w:pos="1855"/>
        </w:tabs>
        <w:ind w:left="1639" w:hanging="504"/>
      </w:pPr>
      <w:rPr>
        <w:rFonts w:ascii="Arial" w:hAnsi="Arial" w:cs="Arial" w:hint="default"/>
        <w:color w:val="auto"/>
        <w:sz w:val="22"/>
        <w:szCs w:val="22"/>
      </w:rPr>
    </w:lvl>
    <w:lvl w:ilvl="3">
      <w:start w:val="1"/>
      <w:numFmt w:val="decimal"/>
      <w:pStyle w:val="Subsection3"/>
      <w:lvlText w:val="%1.%2.%3.%4."/>
      <w:lvlJc w:val="left"/>
      <w:pPr>
        <w:tabs>
          <w:tab w:val="num" w:pos="1800"/>
        </w:tabs>
        <w:ind w:left="1728" w:hanging="648"/>
      </w:pPr>
      <w:rPr>
        <w:rFonts w:ascii="Arial" w:hAnsi="Arial" w:cs="Arial" w:hint="default"/>
        <w:color w:val="auto"/>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5617FB1"/>
    <w:multiLevelType w:val="hybridMultilevel"/>
    <w:tmpl w:val="15BADDE4"/>
    <w:lvl w:ilvl="0" w:tplc="04090001">
      <w:start w:val="1"/>
      <w:numFmt w:val="bullet"/>
      <w:lvlText w:val=""/>
      <w:lvlJc w:val="left"/>
      <w:pPr>
        <w:tabs>
          <w:tab w:val="num" w:pos="11"/>
        </w:tabs>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15:restartNumberingAfterBreak="0">
    <w:nsid w:val="6D9078CC"/>
    <w:multiLevelType w:val="multilevel"/>
    <w:tmpl w:val="0CFECD26"/>
    <w:lvl w:ilvl="0">
      <w:start w:val="4"/>
      <w:numFmt w:val="decimal"/>
      <w:lvlText w:val="%1"/>
      <w:lvlJc w:val="left"/>
      <w:pPr>
        <w:ind w:left="525" w:hanging="525"/>
      </w:pPr>
      <w:rPr>
        <w:rFonts w:hint="default"/>
      </w:rPr>
    </w:lvl>
    <w:lvl w:ilvl="1">
      <w:start w:val="4"/>
      <w:numFmt w:val="decimal"/>
      <w:lvlText w:val="%1.%2"/>
      <w:lvlJc w:val="left"/>
      <w:pPr>
        <w:ind w:left="814" w:hanging="525"/>
      </w:pPr>
      <w:rPr>
        <w:rFonts w:hint="default"/>
      </w:rPr>
    </w:lvl>
    <w:lvl w:ilvl="2">
      <w:start w:val="7"/>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3" w15:restartNumberingAfterBreak="0">
    <w:nsid w:val="6DC56662"/>
    <w:multiLevelType w:val="hybridMultilevel"/>
    <w:tmpl w:val="2BAA5E8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71CD1294"/>
    <w:multiLevelType w:val="hybridMultilevel"/>
    <w:tmpl w:val="F93AB8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1370D"/>
    <w:multiLevelType w:val="hybridMultilevel"/>
    <w:tmpl w:val="3B24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5"/>
  </w:num>
  <w:num w:numId="5">
    <w:abstractNumId w:val="14"/>
  </w:num>
  <w:num w:numId="6">
    <w:abstractNumId w:val="13"/>
  </w:num>
  <w:num w:numId="7">
    <w:abstractNumId w:val="1"/>
  </w:num>
  <w:num w:numId="8">
    <w:abstractNumId w:val="3"/>
  </w:num>
  <w:num w:numId="9">
    <w:abstractNumId w:val="6"/>
  </w:num>
  <w:num w:numId="10">
    <w:abstractNumId w:val="11"/>
  </w:num>
  <w:num w:numId="11">
    <w:abstractNumId w:val="15"/>
  </w:num>
  <w:num w:numId="12">
    <w:abstractNumId w:val="12"/>
  </w:num>
  <w:num w:numId="13">
    <w:abstractNumId w:val="4"/>
  </w:num>
  <w:num w:numId="14">
    <w:abstractNumId w:val="8"/>
  </w:num>
  <w:num w:numId="15">
    <w:abstractNumId w:val="0"/>
  </w:num>
  <w:num w:numId="16">
    <w:abstractNumId w:val="8"/>
    <w:lvlOverride w:ilvl="0">
      <w:startOverride w:val="4"/>
    </w:lvlOverride>
    <w:lvlOverride w:ilvl="1">
      <w:startOverride w:val="2"/>
    </w:lvlOverride>
  </w:num>
  <w:num w:numId="17">
    <w:abstractNumId w:val="8"/>
    <w:lvlOverride w:ilvl="0">
      <w:startOverride w:val="7"/>
    </w:lvlOverride>
    <w:lvlOverride w:ilvl="1">
      <w:startOverride w:val="1"/>
    </w:lvlOverride>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56"/>
    <w:rsid w:val="000057BD"/>
    <w:rsid w:val="00013682"/>
    <w:rsid w:val="00016604"/>
    <w:rsid w:val="00017440"/>
    <w:rsid w:val="00032651"/>
    <w:rsid w:val="00052A86"/>
    <w:rsid w:val="00054637"/>
    <w:rsid w:val="00075F29"/>
    <w:rsid w:val="0008132C"/>
    <w:rsid w:val="000872B4"/>
    <w:rsid w:val="000B6A4D"/>
    <w:rsid w:val="000C1518"/>
    <w:rsid w:val="000C230E"/>
    <w:rsid w:val="000C422E"/>
    <w:rsid w:val="000E0217"/>
    <w:rsid w:val="000E591B"/>
    <w:rsid w:val="000E6556"/>
    <w:rsid w:val="000F4F35"/>
    <w:rsid w:val="001013D4"/>
    <w:rsid w:val="00131A39"/>
    <w:rsid w:val="00153649"/>
    <w:rsid w:val="0016032A"/>
    <w:rsid w:val="0016105D"/>
    <w:rsid w:val="001628AA"/>
    <w:rsid w:val="00166656"/>
    <w:rsid w:val="001866AF"/>
    <w:rsid w:val="00187F63"/>
    <w:rsid w:val="00193893"/>
    <w:rsid w:val="0019406B"/>
    <w:rsid w:val="00196714"/>
    <w:rsid w:val="001B7FEC"/>
    <w:rsid w:val="001C6E1D"/>
    <w:rsid w:val="001E30D9"/>
    <w:rsid w:val="00210864"/>
    <w:rsid w:val="002110AA"/>
    <w:rsid w:val="00212387"/>
    <w:rsid w:val="00215C5E"/>
    <w:rsid w:val="0023605E"/>
    <w:rsid w:val="00240FE0"/>
    <w:rsid w:val="00241179"/>
    <w:rsid w:val="00241218"/>
    <w:rsid w:val="0024603C"/>
    <w:rsid w:val="00253E83"/>
    <w:rsid w:val="00255EEB"/>
    <w:rsid w:val="00257FF6"/>
    <w:rsid w:val="00275344"/>
    <w:rsid w:val="00292B97"/>
    <w:rsid w:val="002A6005"/>
    <w:rsid w:val="002B28BA"/>
    <w:rsid w:val="002D3170"/>
    <w:rsid w:val="003021FA"/>
    <w:rsid w:val="003045C8"/>
    <w:rsid w:val="00306766"/>
    <w:rsid w:val="00313C93"/>
    <w:rsid w:val="0032407C"/>
    <w:rsid w:val="00324C3B"/>
    <w:rsid w:val="00337BD7"/>
    <w:rsid w:val="003640F0"/>
    <w:rsid w:val="00372F5D"/>
    <w:rsid w:val="00374E72"/>
    <w:rsid w:val="0038037D"/>
    <w:rsid w:val="003853BF"/>
    <w:rsid w:val="00387465"/>
    <w:rsid w:val="003B59AB"/>
    <w:rsid w:val="003C458D"/>
    <w:rsid w:val="003C65CD"/>
    <w:rsid w:val="003D7708"/>
    <w:rsid w:val="003E0869"/>
    <w:rsid w:val="003E2DEC"/>
    <w:rsid w:val="003E6E0D"/>
    <w:rsid w:val="003F0ACD"/>
    <w:rsid w:val="003F3A5C"/>
    <w:rsid w:val="00406100"/>
    <w:rsid w:val="00420A82"/>
    <w:rsid w:val="00430FBB"/>
    <w:rsid w:val="00437C43"/>
    <w:rsid w:val="0044303C"/>
    <w:rsid w:val="00463D9C"/>
    <w:rsid w:val="00467807"/>
    <w:rsid w:val="00490870"/>
    <w:rsid w:val="00495B67"/>
    <w:rsid w:val="004B6473"/>
    <w:rsid w:val="004C1606"/>
    <w:rsid w:val="004C5099"/>
    <w:rsid w:val="004D6FE1"/>
    <w:rsid w:val="004E1B3C"/>
    <w:rsid w:val="004E2A31"/>
    <w:rsid w:val="0051079B"/>
    <w:rsid w:val="00517C89"/>
    <w:rsid w:val="00524E03"/>
    <w:rsid w:val="005334DD"/>
    <w:rsid w:val="00540790"/>
    <w:rsid w:val="005452DD"/>
    <w:rsid w:val="005546DB"/>
    <w:rsid w:val="00555FE0"/>
    <w:rsid w:val="00563E32"/>
    <w:rsid w:val="00577176"/>
    <w:rsid w:val="00583B5F"/>
    <w:rsid w:val="005916A1"/>
    <w:rsid w:val="00591CF6"/>
    <w:rsid w:val="00596800"/>
    <w:rsid w:val="005972E1"/>
    <w:rsid w:val="005A0D83"/>
    <w:rsid w:val="005B7004"/>
    <w:rsid w:val="005C792C"/>
    <w:rsid w:val="005D72E8"/>
    <w:rsid w:val="005E4A28"/>
    <w:rsid w:val="005E71BC"/>
    <w:rsid w:val="0061324A"/>
    <w:rsid w:val="006322B5"/>
    <w:rsid w:val="00640C41"/>
    <w:rsid w:val="00650098"/>
    <w:rsid w:val="00652C9E"/>
    <w:rsid w:val="0068382E"/>
    <w:rsid w:val="00695225"/>
    <w:rsid w:val="006957A3"/>
    <w:rsid w:val="006971BA"/>
    <w:rsid w:val="006D4E4B"/>
    <w:rsid w:val="00706D96"/>
    <w:rsid w:val="00756952"/>
    <w:rsid w:val="00767399"/>
    <w:rsid w:val="0077540E"/>
    <w:rsid w:val="00781FF0"/>
    <w:rsid w:val="00794BCD"/>
    <w:rsid w:val="007B40A8"/>
    <w:rsid w:val="007C034C"/>
    <w:rsid w:val="007C59AB"/>
    <w:rsid w:val="007D487C"/>
    <w:rsid w:val="007E6427"/>
    <w:rsid w:val="008012ED"/>
    <w:rsid w:val="00837543"/>
    <w:rsid w:val="00837BB0"/>
    <w:rsid w:val="0084020F"/>
    <w:rsid w:val="00854F03"/>
    <w:rsid w:val="00855D4F"/>
    <w:rsid w:val="00875202"/>
    <w:rsid w:val="008758C6"/>
    <w:rsid w:val="008A5104"/>
    <w:rsid w:val="008B4DCA"/>
    <w:rsid w:val="008C5E56"/>
    <w:rsid w:val="008D5CBA"/>
    <w:rsid w:val="00905407"/>
    <w:rsid w:val="00906B5B"/>
    <w:rsid w:val="00910FD0"/>
    <w:rsid w:val="00923406"/>
    <w:rsid w:val="009250A9"/>
    <w:rsid w:val="00934A5C"/>
    <w:rsid w:val="00937F4E"/>
    <w:rsid w:val="00954318"/>
    <w:rsid w:val="00961C08"/>
    <w:rsid w:val="0099113D"/>
    <w:rsid w:val="00995234"/>
    <w:rsid w:val="009A68FC"/>
    <w:rsid w:val="009A7020"/>
    <w:rsid w:val="009B0270"/>
    <w:rsid w:val="009B66A4"/>
    <w:rsid w:val="009E0429"/>
    <w:rsid w:val="00A04966"/>
    <w:rsid w:val="00A16E4C"/>
    <w:rsid w:val="00A223D0"/>
    <w:rsid w:val="00A30FC3"/>
    <w:rsid w:val="00A36E27"/>
    <w:rsid w:val="00A428E2"/>
    <w:rsid w:val="00A5401D"/>
    <w:rsid w:val="00A67FAA"/>
    <w:rsid w:val="00A730CB"/>
    <w:rsid w:val="00A74A9C"/>
    <w:rsid w:val="00A91D53"/>
    <w:rsid w:val="00A961CA"/>
    <w:rsid w:val="00AA7DE0"/>
    <w:rsid w:val="00AB4F52"/>
    <w:rsid w:val="00AC12C3"/>
    <w:rsid w:val="00AD0C6F"/>
    <w:rsid w:val="00AD4D06"/>
    <w:rsid w:val="00AF7264"/>
    <w:rsid w:val="00AF7DEF"/>
    <w:rsid w:val="00B03B74"/>
    <w:rsid w:val="00B07792"/>
    <w:rsid w:val="00B134F5"/>
    <w:rsid w:val="00B23104"/>
    <w:rsid w:val="00B37C2F"/>
    <w:rsid w:val="00B64E9F"/>
    <w:rsid w:val="00B65898"/>
    <w:rsid w:val="00B6622E"/>
    <w:rsid w:val="00B75FFB"/>
    <w:rsid w:val="00B92556"/>
    <w:rsid w:val="00B97883"/>
    <w:rsid w:val="00BA5661"/>
    <w:rsid w:val="00BA56D3"/>
    <w:rsid w:val="00BA6572"/>
    <w:rsid w:val="00BB4DFB"/>
    <w:rsid w:val="00BE4580"/>
    <w:rsid w:val="00C01230"/>
    <w:rsid w:val="00C227BB"/>
    <w:rsid w:val="00C30937"/>
    <w:rsid w:val="00C34C98"/>
    <w:rsid w:val="00C47C58"/>
    <w:rsid w:val="00C56211"/>
    <w:rsid w:val="00C57821"/>
    <w:rsid w:val="00C758C8"/>
    <w:rsid w:val="00C92356"/>
    <w:rsid w:val="00C96C1E"/>
    <w:rsid w:val="00CA5B78"/>
    <w:rsid w:val="00CB297A"/>
    <w:rsid w:val="00CC49B3"/>
    <w:rsid w:val="00CC5534"/>
    <w:rsid w:val="00CE55C9"/>
    <w:rsid w:val="00CE560C"/>
    <w:rsid w:val="00CF4B6D"/>
    <w:rsid w:val="00D04BBE"/>
    <w:rsid w:val="00D157F7"/>
    <w:rsid w:val="00D30986"/>
    <w:rsid w:val="00D3098E"/>
    <w:rsid w:val="00D53F34"/>
    <w:rsid w:val="00D7721C"/>
    <w:rsid w:val="00D85DD7"/>
    <w:rsid w:val="00D8679A"/>
    <w:rsid w:val="00D87B44"/>
    <w:rsid w:val="00D939A0"/>
    <w:rsid w:val="00DA6396"/>
    <w:rsid w:val="00DA76D5"/>
    <w:rsid w:val="00DB1510"/>
    <w:rsid w:val="00DB460E"/>
    <w:rsid w:val="00DC04C6"/>
    <w:rsid w:val="00DD4374"/>
    <w:rsid w:val="00DD50F3"/>
    <w:rsid w:val="00DF2AD6"/>
    <w:rsid w:val="00E33621"/>
    <w:rsid w:val="00E37DF0"/>
    <w:rsid w:val="00E402B1"/>
    <w:rsid w:val="00E61ADD"/>
    <w:rsid w:val="00E66E6E"/>
    <w:rsid w:val="00E7470B"/>
    <w:rsid w:val="00EB2D84"/>
    <w:rsid w:val="00EB336F"/>
    <w:rsid w:val="00ED5346"/>
    <w:rsid w:val="00EE5B0D"/>
    <w:rsid w:val="00EF4649"/>
    <w:rsid w:val="00F02A65"/>
    <w:rsid w:val="00F16067"/>
    <w:rsid w:val="00F3493F"/>
    <w:rsid w:val="00F41361"/>
    <w:rsid w:val="00F43610"/>
    <w:rsid w:val="00F501A6"/>
    <w:rsid w:val="00F524C3"/>
    <w:rsid w:val="00F56A12"/>
    <w:rsid w:val="00F6165B"/>
    <w:rsid w:val="00F72698"/>
    <w:rsid w:val="00F86085"/>
    <w:rsid w:val="00FB7378"/>
    <w:rsid w:val="00FC3365"/>
    <w:rsid w:val="00FD55DD"/>
    <w:rsid w:val="00FE65C8"/>
    <w:rsid w:val="00FF45B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0E16654"/>
  <w15:docId w15:val="{7BF9EE9D-F399-45D3-8CAA-AA532C78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356"/>
    <w:pPr>
      <w:overflowPunct w:val="0"/>
      <w:autoSpaceDE w:val="0"/>
      <w:autoSpaceDN w:val="0"/>
      <w:adjustRightInd w:val="0"/>
      <w:spacing w:after="0" w:line="236" w:lineRule="exact"/>
      <w:textAlignment w:val="baseline"/>
    </w:pPr>
    <w:rPr>
      <w:rFonts w:ascii="Arial" w:eastAsia="Times New Roman" w:hAnsi="Arial" w:cs="Arial"/>
      <w:szCs w:val="20"/>
      <w:lang w:val="en-AU"/>
    </w:rPr>
  </w:style>
  <w:style w:type="paragraph" w:styleId="Heading1">
    <w:name w:val="heading 1"/>
    <w:basedOn w:val="ListParagraph"/>
    <w:next w:val="Normal"/>
    <w:link w:val="Heading1Char"/>
    <w:rsid w:val="00017440"/>
    <w:pPr>
      <w:numPr>
        <w:numId w:val="14"/>
      </w:numPr>
      <w:spacing w:after="120" w:line="240" w:lineRule="auto"/>
      <w:outlineLvl w:val="0"/>
    </w:pPr>
    <w:rPr>
      <w:rFonts w:ascii="Arial" w:hAnsi="Arial" w:cs="Arial"/>
      <w:b/>
      <w:color w:val="000000" w:themeColor="text1"/>
      <w:sz w:val="28"/>
      <w:szCs w:val="28"/>
    </w:rPr>
  </w:style>
  <w:style w:type="paragraph" w:styleId="Heading2">
    <w:name w:val="heading 2"/>
    <w:basedOn w:val="ListParagraph"/>
    <w:next w:val="Normal"/>
    <w:link w:val="Heading2Char"/>
    <w:rsid w:val="00017440"/>
    <w:pPr>
      <w:numPr>
        <w:numId w:val="15"/>
      </w:numPr>
      <w:ind w:left="142" w:hanging="426"/>
      <w:outlineLvl w:val="1"/>
    </w:pPr>
    <w:rPr>
      <w:rFonts w:ascii="Arial" w:hAnsi="Arial" w:cs="Arial"/>
      <w:b/>
      <w:color w:val="000000" w:themeColor="text1"/>
      <w:sz w:val="24"/>
      <w:szCs w:val="24"/>
    </w:rPr>
  </w:style>
  <w:style w:type="paragraph" w:styleId="Heading3">
    <w:name w:val="heading 3"/>
    <w:basedOn w:val="Normal"/>
    <w:link w:val="Heading3Char"/>
    <w:uiPriority w:val="9"/>
    <w:qFormat/>
    <w:rsid w:val="008C5E56"/>
    <w:pPr>
      <w:overflowPunct/>
      <w:autoSpaceDE/>
      <w:autoSpaceDN/>
      <w:adjustRightInd/>
      <w:spacing w:before="100" w:beforeAutospacing="1" w:after="100" w:afterAutospacing="1" w:line="240" w:lineRule="auto"/>
      <w:textAlignment w:val="auto"/>
      <w:outlineLvl w:val="2"/>
    </w:pPr>
    <w:rPr>
      <w:rFonts w:ascii="Times New Roman" w:hAnsi="Times New Roman" w:cs="Times New Roman"/>
      <w:b/>
      <w:bCs/>
      <w:sz w:val="27"/>
      <w:szCs w:val="27"/>
      <w:lang w:eastAsia="en-AU"/>
    </w:rPr>
  </w:style>
  <w:style w:type="paragraph" w:styleId="Heading4">
    <w:name w:val="heading 4"/>
    <w:basedOn w:val="Normal"/>
    <w:next w:val="Normal"/>
    <w:link w:val="Heading4Char"/>
    <w:rsid w:val="00AB4F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56"/>
    <w:pPr>
      <w:tabs>
        <w:tab w:val="center" w:pos="4320"/>
        <w:tab w:val="right" w:pos="8640"/>
      </w:tabs>
    </w:pPr>
  </w:style>
  <w:style w:type="character" w:customStyle="1" w:styleId="HeaderChar">
    <w:name w:val="Header Char"/>
    <w:basedOn w:val="DefaultParagraphFont"/>
    <w:link w:val="Header"/>
    <w:uiPriority w:val="99"/>
    <w:rsid w:val="00C92356"/>
  </w:style>
  <w:style w:type="paragraph" w:styleId="Footer">
    <w:name w:val="footer"/>
    <w:basedOn w:val="Normal"/>
    <w:link w:val="FooterChar"/>
    <w:uiPriority w:val="99"/>
    <w:unhideWhenUsed/>
    <w:rsid w:val="00C92356"/>
    <w:pPr>
      <w:tabs>
        <w:tab w:val="center" w:pos="4320"/>
        <w:tab w:val="right" w:pos="8640"/>
      </w:tabs>
    </w:pPr>
  </w:style>
  <w:style w:type="character" w:customStyle="1" w:styleId="FooterChar">
    <w:name w:val="Footer Char"/>
    <w:basedOn w:val="DefaultParagraphFont"/>
    <w:link w:val="Footer"/>
    <w:uiPriority w:val="99"/>
    <w:rsid w:val="00C92356"/>
  </w:style>
  <w:style w:type="table" w:styleId="LightShading-Accent1">
    <w:name w:val="Light Shading Accent 1"/>
    <w:basedOn w:val="TableNormal"/>
    <w:uiPriority w:val="60"/>
    <w:rsid w:val="00C92356"/>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92356"/>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C92356"/>
    <w:rPr>
      <w:rFonts w:ascii="PMingLiU" w:eastAsiaTheme="minorEastAsia" w:hAnsi="PMingLiU"/>
      <w:sz w:val="22"/>
      <w:szCs w:val="22"/>
    </w:rPr>
  </w:style>
  <w:style w:type="paragraph" w:styleId="Title">
    <w:name w:val="Title"/>
    <w:basedOn w:val="Normal"/>
    <w:next w:val="Subtitle"/>
    <w:link w:val="TitleChar"/>
    <w:qFormat/>
    <w:rsid w:val="00C92356"/>
    <w:pPr>
      <w:keepNext/>
      <w:keepLines/>
      <w:pBdr>
        <w:top w:val="single" w:sz="6" w:space="16" w:color="auto"/>
      </w:pBdr>
      <w:spacing w:before="220" w:after="60" w:line="320" w:lineRule="atLeast"/>
    </w:pPr>
    <w:rPr>
      <w:rFonts w:ascii="Arial Black" w:hAnsi="Arial Black"/>
      <w:spacing w:val="-30"/>
      <w:kern w:val="28"/>
      <w:sz w:val="40"/>
    </w:rPr>
  </w:style>
  <w:style w:type="character" w:customStyle="1" w:styleId="TitleChar">
    <w:name w:val="Title Char"/>
    <w:basedOn w:val="DefaultParagraphFont"/>
    <w:link w:val="Title"/>
    <w:rsid w:val="00C92356"/>
    <w:rPr>
      <w:rFonts w:ascii="Arial Black" w:eastAsia="Times New Roman" w:hAnsi="Arial Black" w:cs="Arial"/>
      <w:spacing w:val="-30"/>
      <w:kern w:val="28"/>
      <w:sz w:val="40"/>
      <w:szCs w:val="20"/>
      <w:lang w:val="en-AU"/>
    </w:rPr>
  </w:style>
  <w:style w:type="paragraph" w:styleId="Subtitle">
    <w:name w:val="Subtitle"/>
    <w:basedOn w:val="Normal"/>
    <w:next w:val="Normal"/>
    <w:link w:val="SubtitleChar"/>
    <w:rsid w:val="00C9235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92356"/>
    <w:rPr>
      <w:rFonts w:asciiTheme="majorHAnsi" w:eastAsiaTheme="majorEastAsia" w:hAnsiTheme="majorHAnsi" w:cstheme="majorBidi"/>
      <w:i/>
      <w:iCs/>
      <w:color w:val="4F81BD" w:themeColor="accent1"/>
      <w:spacing w:val="15"/>
      <w:lang w:val="en-AU"/>
    </w:rPr>
  </w:style>
  <w:style w:type="paragraph" w:styleId="ListParagraph">
    <w:name w:val="List Paragraph"/>
    <w:basedOn w:val="Normal"/>
    <w:uiPriority w:val="34"/>
    <w:qFormat/>
    <w:rsid w:val="00652C9E"/>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 w:type="paragraph" w:customStyle="1" w:styleId="BasicParagraph">
    <w:name w:val="[Basic Paragraph]"/>
    <w:basedOn w:val="Normal"/>
    <w:uiPriority w:val="99"/>
    <w:rsid w:val="00C47C58"/>
    <w:pPr>
      <w:widowControl w:val="0"/>
      <w:overflowPunct/>
      <w:spacing w:line="288" w:lineRule="auto"/>
      <w:textAlignment w:val="center"/>
    </w:pPr>
    <w:rPr>
      <w:rFonts w:ascii="Times-Italic" w:eastAsiaTheme="minorHAnsi" w:hAnsi="Times-Italic" w:cs="Times-Italic"/>
      <w:color w:val="000000"/>
      <w:szCs w:val="24"/>
      <w:lang w:val="en-GB"/>
    </w:rPr>
  </w:style>
  <w:style w:type="character" w:styleId="PageNumber">
    <w:name w:val="page number"/>
    <w:basedOn w:val="DefaultParagraphFont"/>
    <w:rsid w:val="00D8679A"/>
  </w:style>
  <w:style w:type="paragraph" w:styleId="NormalWeb">
    <w:name w:val="Normal (Web)"/>
    <w:basedOn w:val="Normal"/>
    <w:uiPriority w:val="99"/>
    <w:unhideWhenUsed/>
    <w:rsid w:val="00923406"/>
    <w:pPr>
      <w:overflowPunct/>
      <w:autoSpaceDE/>
      <w:autoSpaceDN/>
      <w:adjustRightInd/>
      <w:spacing w:after="100" w:afterAutospacing="1" w:line="312" w:lineRule="auto"/>
      <w:textAlignment w:val="auto"/>
    </w:pPr>
    <w:rPr>
      <w:color w:val="000000"/>
      <w:sz w:val="23"/>
      <w:szCs w:val="23"/>
      <w:lang w:eastAsia="en-AU"/>
    </w:rPr>
  </w:style>
  <w:style w:type="paragraph" w:customStyle="1" w:styleId="SectionHeading">
    <w:name w:val="Section Heading"/>
    <w:basedOn w:val="Normal"/>
    <w:uiPriority w:val="99"/>
    <w:locked/>
    <w:rsid w:val="00923406"/>
    <w:pPr>
      <w:numPr>
        <w:numId w:val="1"/>
      </w:numPr>
      <w:overflowPunct/>
      <w:autoSpaceDE/>
      <w:autoSpaceDN/>
      <w:adjustRightInd/>
      <w:spacing w:line="240" w:lineRule="auto"/>
      <w:textAlignment w:val="auto"/>
    </w:pPr>
    <w:rPr>
      <w:b/>
      <w:caps/>
      <w:szCs w:val="24"/>
      <w:lang w:eastAsia="en-AU"/>
    </w:rPr>
  </w:style>
  <w:style w:type="paragraph" w:customStyle="1" w:styleId="Subsection2">
    <w:name w:val="Subsection2"/>
    <w:basedOn w:val="Normal"/>
    <w:uiPriority w:val="99"/>
    <w:rsid w:val="00923406"/>
    <w:pPr>
      <w:numPr>
        <w:ilvl w:val="2"/>
        <w:numId w:val="1"/>
      </w:numPr>
      <w:overflowPunct/>
      <w:autoSpaceDE/>
      <w:autoSpaceDN/>
      <w:adjustRightInd/>
      <w:spacing w:line="240" w:lineRule="auto"/>
      <w:textAlignment w:val="auto"/>
    </w:pPr>
    <w:rPr>
      <w:sz w:val="20"/>
      <w:lang w:eastAsia="en-AU"/>
    </w:rPr>
  </w:style>
  <w:style w:type="paragraph" w:customStyle="1" w:styleId="Subsection3">
    <w:name w:val="Subsection3"/>
    <w:basedOn w:val="Normal"/>
    <w:uiPriority w:val="99"/>
    <w:rsid w:val="00923406"/>
    <w:pPr>
      <w:numPr>
        <w:ilvl w:val="3"/>
        <w:numId w:val="1"/>
      </w:numPr>
      <w:tabs>
        <w:tab w:val="clear" w:pos="1800"/>
        <w:tab w:val="num" w:pos="2520"/>
      </w:tabs>
      <w:overflowPunct/>
      <w:autoSpaceDE/>
      <w:autoSpaceDN/>
      <w:adjustRightInd/>
      <w:spacing w:line="240" w:lineRule="auto"/>
      <w:ind w:left="2520" w:hanging="900"/>
      <w:textAlignment w:val="auto"/>
    </w:pPr>
    <w:rPr>
      <w:sz w:val="20"/>
      <w:lang w:eastAsia="en-AU"/>
    </w:rPr>
  </w:style>
  <w:style w:type="paragraph" w:customStyle="1" w:styleId="Subsection1">
    <w:name w:val="Subsection1"/>
    <w:basedOn w:val="Normal"/>
    <w:uiPriority w:val="99"/>
    <w:rsid w:val="00923406"/>
    <w:pPr>
      <w:numPr>
        <w:ilvl w:val="1"/>
        <w:numId w:val="1"/>
      </w:numPr>
      <w:overflowPunct/>
      <w:autoSpaceDE/>
      <w:autoSpaceDN/>
      <w:adjustRightInd/>
      <w:spacing w:line="240" w:lineRule="auto"/>
      <w:textAlignment w:val="auto"/>
    </w:pPr>
    <w:rPr>
      <w:b/>
      <w:szCs w:val="24"/>
      <w:lang w:eastAsia="en-AU"/>
    </w:rPr>
  </w:style>
  <w:style w:type="table" w:styleId="TableGrid">
    <w:name w:val="Table Grid"/>
    <w:basedOn w:val="TableNormal"/>
    <w:rsid w:val="009234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D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B4DCA"/>
    <w:rPr>
      <w:rFonts w:ascii="Lucida Grande" w:eastAsia="Times New Roman" w:hAnsi="Lucida Grande" w:cs="Lucida Grande"/>
      <w:sz w:val="18"/>
      <w:szCs w:val="18"/>
      <w:lang w:val="en-AU"/>
    </w:rPr>
  </w:style>
  <w:style w:type="character" w:customStyle="1" w:styleId="Heading3Char">
    <w:name w:val="Heading 3 Char"/>
    <w:basedOn w:val="DefaultParagraphFont"/>
    <w:link w:val="Heading3"/>
    <w:uiPriority w:val="9"/>
    <w:rsid w:val="008C5E56"/>
    <w:rPr>
      <w:rFonts w:ascii="Times New Roman" w:eastAsia="Times New Roman" w:hAnsi="Times New Roman" w:cs="Times New Roman"/>
      <w:b/>
      <w:bCs/>
      <w:sz w:val="27"/>
      <w:szCs w:val="27"/>
      <w:lang w:val="en-AU" w:eastAsia="en-AU"/>
    </w:rPr>
  </w:style>
  <w:style w:type="paragraph" w:styleId="Revision">
    <w:name w:val="Revision"/>
    <w:hidden/>
    <w:rsid w:val="00212387"/>
    <w:pPr>
      <w:spacing w:after="0"/>
    </w:pPr>
    <w:rPr>
      <w:rFonts w:ascii="Arial" w:eastAsia="Times New Roman" w:hAnsi="Arial" w:cs="Arial"/>
      <w:szCs w:val="20"/>
      <w:lang w:val="en-AU"/>
    </w:rPr>
  </w:style>
  <w:style w:type="character" w:styleId="Hyperlink">
    <w:name w:val="Hyperlink"/>
    <w:basedOn w:val="DefaultParagraphFont"/>
    <w:rsid w:val="004C5099"/>
    <w:rPr>
      <w:color w:val="0000FF" w:themeColor="hyperlink"/>
      <w:u w:val="single"/>
    </w:rPr>
  </w:style>
  <w:style w:type="character" w:styleId="FollowedHyperlink">
    <w:name w:val="FollowedHyperlink"/>
    <w:basedOn w:val="DefaultParagraphFont"/>
    <w:rsid w:val="00CA5B78"/>
    <w:rPr>
      <w:color w:val="800080" w:themeColor="followedHyperlink"/>
      <w:u w:val="single"/>
    </w:rPr>
  </w:style>
  <w:style w:type="character" w:styleId="CommentReference">
    <w:name w:val="annotation reference"/>
    <w:basedOn w:val="DefaultParagraphFont"/>
    <w:rsid w:val="00C56211"/>
    <w:rPr>
      <w:sz w:val="18"/>
      <w:szCs w:val="18"/>
    </w:rPr>
  </w:style>
  <w:style w:type="paragraph" w:styleId="CommentText">
    <w:name w:val="annotation text"/>
    <w:basedOn w:val="Normal"/>
    <w:link w:val="CommentTextChar"/>
    <w:rsid w:val="00C56211"/>
    <w:pPr>
      <w:spacing w:line="240" w:lineRule="auto"/>
    </w:pPr>
    <w:rPr>
      <w:szCs w:val="24"/>
    </w:rPr>
  </w:style>
  <w:style w:type="character" w:customStyle="1" w:styleId="CommentTextChar">
    <w:name w:val="Comment Text Char"/>
    <w:basedOn w:val="DefaultParagraphFont"/>
    <w:link w:val="CommentText"/>
    <w:rsid w:val="00C56211"/>
    <w:rPr>
      <w:rFonts w:ascii="Arial" w:eastAsia="Times New Roman" w:hAnsi="Arial" w:cs="Arial"/>
      <w:lang w:val="en-AU"/>
    </w:rPr>
  </w:style>
  <w:style w:type="paragraph" w:styleId="CommentSubject">
    <w:name w:val="annotation subject"/>
    <w:basedOn w:val="CommentText"/>
    <w:next w:val="CommentText"/>
    <w:link w:val="CommentSubjectChar"/>
    <w:rsid w:val="00C56211"/>
    <w:rPr>
      <w:b/>
      <w:bCs/>
      <w:sz w:val="20"/>
      <w:szCs w:val="20"/>
    </w:rPr>
  </w:style>
  <w:style w:type="character" w:customStyle="1" w:styleId="CommentSubjectChar">
    <w:name w:val="Comment Subject Char"/>
    <w:basedOn w:val="CommentTextChar"/>
    <w:link w:val="CommentSubject"/>
    <w:rsid w:val="00C56211"/>
    <w:rPr>
      <w:rFonts w:ascii="Arial" w:eastAsia="Times New Roman" w:hAnsi="Arial" w:cs="Arial"/>
      <w:b/>
      <w:bCs/>
      <w:sz w:val="20"/>
      <w:szCs w:val="20"/>
      <w:lang w:val="en-AU"/>
    </w:rPr>
  </w:style>
  <w:style w:type="character" w:customStyle="1" w:styleId="Heading1Char">
    <w:name w:val="Heading 1 Char"/>
    <w:basedOn w:val="DefaultParagraphFont"/>
    <w:link w:val="Heading1"/>
    <w:rsid w:val="00017440"/>
    <w:rPr>
      <w:rFonts w:ascii="Arial" w:eastAsia="Calibri" w:hAnsi="Arial" w:cs="Arial"/>
      <w:b/>
      <w:color w:val="000000" w:themeColor="text1"/>
      <w:sz w:val="28"/>
      <w:szCs w:val="28"/>
      <w:lang w:val="en-AU"/>
    </w:rPr>
  </w:style>
  <w:style w:type="character" w:customStyle="1" w:styleId="Heading2Char">
    <w:name w:val="Heading 2 Char"/>
    <w:basedOn w:val="DefaultParagraphFont"/>
    <w:link w:val="Heading2"/>
    <w:rsid w:val="00017440"/>
    <w:rPr>
      <w:rFonts w:ascii="Arial" w:eastAsia="Calibri" w:hAnsi="Arial" w:cs="Arial"/>
      <w:b/>
      <w:color w:val="000000" w:themeColor="text1"/>
      <w:lang w:val="en-AU"/>
    </w:rPr>
  </w:style>
  <w:style w:type="character" w:customStyle="1" w:styleId="Heading4Char">
    <w:name w:val="Heading 4 Char"/>
    <w:basedOn w:val="DefaultParagraphFont"/>
    <w:link w:val="Heading4"/>
    <w:rsid w:val="00AB4F52"/>
    <w:rPr>
      <w:rFonts w:asciiTheme="majorHAnsi" w:eastAsiaTheme="majorEastAsia" w:hAnsiTheme="majorHAnsi" w:cstheme="majorBidi"/>
      <w:i/>
      <w:iCs/>
      <w:color w:val="365F91" w:themeColor="accent1" w:themeShade="B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70A6-E107-4089-BFE5-EFB204AA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Wynter</dc:creator>
  <cp:lastModifiedBy>Monique Ahrens</cp:lastModifiedBy>
  <cp:revision>2</cp:revision>
  <cp:lastPrinted>2016-05-31T01:17:00Z</cp:lastPrinted>
  <dcterms:created xsi:type="dcterms:W3CDTF">2020-03-26T02:08:00Z</dcterms:created>
  <dcterms:modified xsi:type="dcterms:W3CDTF">2020-03-26T02:08:00Z</dcterms:modified>
</cp:coreProperties>
</file>